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4" w:type="dxa"/>
        <w:tblInd w:w="108" w:type="dxa"/>
        <w:tblLook w:val="04A0" w:firstRow="1" w:lastRow="0" w:firstColumn="1" w:lastColumn="0" w:noHBand="0" w:noVBand="1"/>
      </w:tblPr>
      <w:tblGrid>
        <w:gridCol w:w="3544"/>
        <w:gridCol w:w="5760"/>
      </w:tblGrid>
      <w:tr w:rsidR="0099686F" w14:paraId="75BE2D4C" w14:textId="77777777" w:rsidTr="009460AD">
        <w:trPr>
          <w:trHeight w:val="569"/>
        </w:trPr>
        <w:tc>
          <w:tcPr>
            <w:tcW w:w="3544" w:type="dxa"/>
            <w:hideMark/>
          </w:tcPr>
          <w:p w14:paraId="74D261F7" w14:textId="77777777" w:rsidR="0099686F" w:rsidRPr="00A5602E" w:rsidRDefault="0099686F" w:rsidP="009460AD">
            <w:pPr>
              <w:jc w:val="center"/>
              <w:rPr>
                <w:b/>
                <w:bCs/>
                <w:kern w:val="28"/>
                <w:sz w:val="28"/>
                <w:szCs w:val="28"/>
              </w:rPr>
            </w:pPr>
            <w:r w:rsidRPr="00A5602E">
              <w:rPr>
                <w:b/>
                <w:bCs/>
              </w:rPr>
              <w:t>ỦY BAN NHÂN DÂN</w:t>
            </w:r>
          </w:p>
          <w:p w14:paraId="530EBD31" w14:textId="76E2A865" w:rsidR="0099686F" w:rsidRPr="00ED1ACF" w:rsidRDefault="007B3F5E" w:rsidP="00ED1ACF">
            <w:pPr>
              <w:pStyle w:val="BodyText0"/>
              <w:spacing w:after="0"/>
              <w:jc w:val="center"/>
              <w:rPr>
                <w:b/>
                <w:bCs/>
                <w:szCs w:val="26"/>
              </w:rPr>
            </w:pPr>
            <w:r>
              <w:rPr>
                <w:noProof/>
              </w:rPr>
              <w:pict w14:anchorId="1F1426DF">
                <v:line id="Straight Connector 3" o:spid="_x0000_s1043" style="position:absolute;left:0;text-align:left;z-index:251656704;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55.7pt,16.25pt" to="106.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sb4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n+dNTCh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"/>
              </w:pict>
            </w:r>
            <w:r w:rsidR="0099686F">
              <w:rPr>
                <w:b/>
                <w:bCs/>
                <w:szCs w:val="26"/>
              </w:rPr>
              <w:t>TỈNH CAO BẰNG</w:t>
            </w:r>
          </w:p>
        </w:tc>
        <w:tc>
          <w:tcPr>
            <w:tcW w:w="5760" w:type="dxa"/>
            <w:hideMark/>
          </w:tcPr>
          <w:p w14:paraId="777CF10A" w14:textId="77777777" w:rsidR="0099686F" w:rsidRDefault="0099686F" w:rsidP="009460AD">
            <w:pPr>
              <w:jc w:val="center"/>
              <w:rPr>
                <w:b/>
                <w:kern w:val="28"/>
                <w:szCs w:val="26"/>
              </w:rPr>
            </w:pPr>
            <w:r>
              <w:rPr>
                <w:b/>
                <w:szCs w:val="26"/>
              </w:rPr>
              <w:t xml:space="preserve">CỘNG HÒA XÃ HỘI CHỦ NGHĨA VIỆT </w:t>
            </w:r>
            <w:smartTag w:uri="urn:schemas-microsoft-com:office:smarttags" w:element="country-region">
              <w:smartTag w:uri="urn:schemas-microsoft-com:office:smarttags" w:element="place">
                <w:r>
                  <w:rPr>
                    <w:b/>
                    <w:szCs w:val="26"/>
                  </w:rPr>
                  <w:t>NAM</w:t>
                </w:r>
              </w:smartTag>
            </w:smartTag>
          </w:p>
          <w:p w14:paraId="1D6568BA" w14:textId="77777777" w:rsidR="00ED1ACF" w:rsidRDefault="0099686F" w:rsidP="00ED1ACF">
            <w:pPr>
              <w:pStyle w:val="BodyText0"/>
              <w:spacing w:after="0"/>
              <w:jc w:val="center"/>
              <w:rPr>
                <w:b/>
                <w:sz w:val="28"/>
                <w:szCs w:val="28"/>
              </w:rPr>
            </w:pPr>
            <w:r w:rsidRPr="00C64D36">
              <w:rPr>
                <w:b/>
                <w:sz w:val="28"/>
                <w:szCs w:val="28"/>
              </w:rPr>
              <w:t>Độc lập - Tự do - Hạnh phúc</w:t>
            </w:r>
          </w:p>
          <w:p w14:paraId="74E0F905" w14:textId="566F7472" w:rsidR="0099686F" w:rsidRPr="00ED1ACF" w:rsidRDefault="007B3F5E" w:rsidP="00ED1ACF">
            <w:pPr>
              <w:pStyle w:val="BodyText0"/>
              <w:spacing w:after="0"/>
              <w:jc w:val="center"/>
              <w:rPr>
                <w:b/>
                <w:sz w:val="28"/>
                <w:szCs w:val="28"/>
              </w:rPr>
            </w:pPr>
            <w:r>
              <w:rPr>
                <w:noProof/>
                <w:sz w:val="28"/>
              </w:rPr>
              <w:pict w14:anchorId="6323F09B">
                <v:line id="Straight Connector 4" o:spid="_x0000_s1042" style="position:absolute;left:0;text-align:left;z-index:251657728;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54.2pt,1.8pt" to="22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sF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cYKdJD&#10;i7beErHvPKq1UiCgtqgIOg3GlRBeq40NldKT2ppnTb87pHTdEbXnke/r2QBIFjKSNylh4wzcthu+&#10;aAYx5OB1FO3U2j5AghzoFHtzvveGnzyicJhn03yWQQ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"/>
              </w:pict>
            </w:r>
          </w:p>
        </w:tc>
      </w:tr>
      <w:tr w:rsidR="00ED1ACF" w14:paraId="31BD5D13" w14:textId="77777777" w:rsidTr="00077B7C">
        <w:trPr>
          <w:trHeight w:val="256"/>
        </w:trPr>
        <w:tc>
          <w:tcPr>
            <w:tcW w:w="3544" w:type="dxa"/>
            <w:vAlign w:val="bottom"/>
          </w:tcPr>
          <w:p w14:paraId="36A76543" w14:textId="1AAFFE69" w:rsidR="00ED1ACF" w:rsidRPr="00A5602E" w:rsidRDefault="00ED1ACF" w:rsidP="00077B7C">
            <w:pPr>
              <w:jc w:val="center"/>
              <w:rPr>
                <w:b/>
                <w:bCs/>
              </w:rPr>
            </w:pPr>
            <w:r>
              <w:rPr>
                <w:szCs w:val="26"/>
              </w:rPr>
              <w:t>Số:            /BC-UBND</w:t>
            </w:r>
          </w:p>
        </w:tc>
        <w:tc>
          <w:tcPr>
            <w:tcW w:w="5760" w:type="dxa"/>
            <w:vAlign w:val="bottom"/>
          </w:tcPr>
          <w:p w14:paraId="4EE491E2" w14:textId="609C8FE3" w:rsidR="00ED1ACF" w:rsidRDefault="00ED1ACF" w:rsidP="00077B7C">
            <w:pPr>
              <w:jc w:val="center"/>
              <w:rPr>
                <w:b/>
                <w:szCs w:val="26"/>
              </w:rPr>
            </w:pPr>
            <w:r w:rsidRPr="007848A5">
              <w:rPr>
                <w:i/>
                <w:sz w:val="28"/>
                <w:szCs w:val="26"/>
              </w:rPr>
              <w:t xml:space="preserve">Cao Bằng, ngày </w:t>
            </w:r>
            <w:r>
              <w:rPr>
                <w:i/>
                <w:sz w:val="28"/>
                <w:szCs w:val="26"/>
              </w:rPr>
              <w:t xml:space="preserve"> </w:t>
            </w:r>
            <w:r w:rsidRPr="007848A5">
              <w:rPr>
                <w:i/>
                <w:sz w:val="28"/>
                <w:szCs w:val="26"/>
              </w:rPr>
              <w:t xml:space="preserve">   </w:t>
            </w:r>
            <w:r>
              <w:rPr>
                <w:i/>
                <w:sz w:val="28"/>
                <w:szCs w:val="26"/>
              </w:rPr>
              <w:t xml:space="preserve"> </w:t>
            </w:r>
            <w:r w:rsidRPr="007848A5">
              <w:rPr>
                <w:i/>
                <w:sz w:val="28"/>
                <w:szCs w:val="26"/>
              </w:rPr>
              <w:t xml:space="preserve"> </w:t>
            </w:r>
            <w:r>
              <w:rPr>
                <w:i/>
                <w:sz w:val="28"/>
                <w:szCs w:val="26"/>
              </w:rPr>
              <w:t>tháng 7</w:t>
            </w:r>
            <w:r w:rsidRPr="007848A5">
              <w:rPr>
                <w:i/>
                <w:sz w:val="28"/>
                <w:szCs w:val="26"/>
              </w:rPr>
              <w:t xml:space="preserve"> năm 2025</w:t>
            </w:r>
          </w:p>
        </w:tc>
      </w:tr>
    </w:tbl>
    <w:p w14:paraId="1E1965D2" w14:textId="77777777" w:rsidR="00954859" w:rsidRDefault="00954859" w:rsidP="00ED1ACF">
      <w:pPr>
        <w:tabs>
          <w:tab w:val="left" w:pos="993"/>
        </w:tabs>
        <w:spacing w:before="120"/>
        <w:jc w:val="center"/>
        <w:rPr>
          <w:b/>
          <w:sz w:val="28"/>
          <w:szCs w:val="28"/>
        </w:rPr>
      </w:pPr>
    </w:p>
    <w:p w14:paraId="156DE3BC" w14:textId="77777777" w:rsidR="00725E5D" w:rsidRPr="00E94CDF" w:rsidRDefault="0052028D" w:rsidP="00547080">
      <w:pPr>
        <w:tabs>
          <w:tab w:val="left" w:pos="993"/>
        </w:tabs>
        <w:jc w:val="center"/>
        <w:rPr>
          <w:b/>
          <w:sz w:val="28"/>
          <w:szCs w:val="28"/>
        </w:rPr>
      </w:pPr>
      <w:r w:rsidRPr="00E94CDF">
        <w:rPr>
          <w:b/>
          <w:sz w:val="28"/>
          <w:szCs w:val="28"/>
        </w:rPr>
        <w:t>BÁO CÁO</w:t>
      </w:r>
      <w:r w:rsidR="00A95BC9" w:rsidRPr="00E94CDF">
        <w:rPr>
          <w:b/>
          <w:sz w:val="28"/>
          <w:szCs w:val="28"/>
        </w:rPr>
        <w:t xml:space="preserve"> </w:t>
      </w:r>
    </w:p>
    <w:p w14:paraId="3C8AE767" w14:textId="77777777" w:rsidR="00765FF6" w:rsidRDefault="00101BD7" w:rsidP="00547080">
      <w:pPr>
        <w:jc w:val="center"/>
        <w:rPr>
          <w:b/>
          <w:sz w:val="28"/>
          <w:szCs w:val="28"/>
          <w:lang w:val="nl-NL"/>
        </w:rPr>
      </w:pPr>
      <w:r w:rsidRPr="00E94CDF">
        <w:rPr>
          <w:b/>
          <w:sz w:val="28"/>
          <w:szCs w:val="28"/>
        </w:rPr>
        <w:t>G</w:t>
      </w:r>
      <w:r w:rsidR="00725E5D" w:rsidRPr="00E94CDF">
        <w:rPr>
          <w:b/>
          <w:sz w:val="28"/>
          <w:szCs w:val="28"/>
        </w:rPr>
        <w:t xml:space="preserve">iá thị trường </w:t>
      </w:r>
      <w:r w:rsidR="00A63B1B">
        <w:rPr>
          <w:b/>
          <w:sz w:val="28"/>
          <w:szCs w:val="28"/>
          <w:lang w:val="nl-NL"/>
        </w:rPr>
        <w:t>tháng 6</w:t>
      </w:r>
      <w:r w:rsidR="00453654">
        <w:rPr>
          <w:b/>
          <w:sz w:val="28"/>
          <w:szCs w:val="28"/>
          <w:lang w:val="nl-NL"/>
        </w:rPr>
        <w:t>, quý II, 06 tháng đầu</w:t>
      </w:r>
      <w:r w:rsidR="00A33FBE">
        <w:rPr>
          <w:b/>
          <w:sz w:val="28"/>
          <w:szCs w:val="28"/>
          <w:lang w:val="nl-NL"/>
        </w:rPr>
        <w:t xml:space="preserve"> </w:t>
      </w:r>
      <w:r w:rsidR="00224382" w:rsidRPr="00E94CDF">
        <w:rPr>
          <w:b/>
          <w:sz w:val="28"/>
          <w:szCs w:val="28"/>
          <w:lang w:val="nl-NL"/>
        </w:rPr>
        <w:t xml:space="preserve">năm </w:t>
      </w:r>
      <w:r w:rsidR="00244398" w:rsidRPr="00E94CDF">
        <w:rPr>
          <w:b/>
          <w:sz w:val="28"/>
          <w:szCs w:val="28"/>
          <w:lang w:val="nl-NL"/>
        </w:rPr>
        <w:t>2025</w:t>
      </w:r>
      <w:r w:rsidR="00224382" w:rsidRPr="00E94CDF">
        <w:rPr>
          <w:b/>
          <w:sz w:val="28"/>
          <w:szCs w:val="28"/>
          <w:lang w:val="nl-NL"/>
        </w:rPr>
        <w:t xml:space="preserve"> </w:t>
      </w:r>
    </w:p>
    <w:p w14:paraId="5CC4C70A" w14:textId="37DC3C20" w:rsidR="004F2495" w:rsidRPr="00E94CDF" w:rsidRDefault="004F2495" w:rsidP="00547080">
      <w:pPr>
        <w:jc w:val="center"/>
        <w:rPr>
          <w:b/>
          <w:sz w:val="28"/>
          <w:szCs w:val="28"/>
          <w:lang w:val="nl-NL"/>
        </w:rPr>
      </w:pPr>
      <w:r w:rsidRPr="00E94CDF">
        <w:rPr>
          <w:b/>
          <w:sz w:val="28"/>
          <w:szCs w:val="28"/>
          <w:lang w:val="nl-NL"/>
        </w:rPr>
        <w:t>trên địa bàn tỉnh Cao Bằng</w:t>
      </w:r>
    </w:p>
    <w:p w14:paraId="0853E3B2" w14:textId="7EF16F7A" w:rsidR="00063F9E" w:rsidRPr="00063F9E" w:rsidRDefault="007B3F5E" w:rsidP="00063F9E">
      <w:pPr>
        <w:tabs>
          <w:tab w:val="left" w:pos="993"/>
        </w:tabs>
        <w:jc w:val="center"/>
        <w:rPr>
          <w:sz w:val="32"/>
          <w:szCs w:val="28"/>
        </w:rPr>
      </w:pPr>
      <w:r>
        <w:rPr>
          <w:noProof/>
        </w:rPr>
        <w:pict w14:anchorId="3B04FF7F">
          <v:line id="Line 4" o:spid="_x0000_s1033" style="position:absolute;left:0;text-align:left;flip:y;z-index:251658752;visibility:visible;mso-wrap-style:square;mso-height-percent:0;mso-wrap-distance-left:9pt;mso-wrap-distance-top:0;mso-wrap-distance-right:9pt;mso-wrap-distance-bottom:0;mso-position-horizontal-relative:text;mso-position-vertical-relative:text;mso-height-percent:0;mso-width-relative:page;mso-height-relative:page" from="173.8pt,2.25pt" to="280.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"/>
        </w:pict>
      </w:r>
    </w:p>
    <w:p w14:paraId="266F6DB6" w14:textId="0F4E87E5" w:rsidR="00160443" w:rsidRPr="00E94CDF" w:rsidRDefault="00160443" w:rsidP="00ED1ACF">
      <w:pPr>
        <w:tabs>
          <w:tab w:val="left" w:pos="993"/>
        </w:tabs>
        <w:jc w:val="center"/>
        <w:rPr>
          <w:sz w:val="28"/>
          <w:szCs w:val="28"/>
        </w:rPr>
      </w:pPr>
      <w:r w:rsidRPr="00E94CDF">
        <w:rPr>
          <w:sz w:val="28"/>
          <w:szCs w:val="28"/>
        </w:rPr>
        <w:t xml:space="preserve">Kính gửi: </w:t>
      </w:r>
      <w:r w:rsidR="00087CD1" w:rsidRPr="00E94CDF">
        <w:rPr>
          <w:sz w:val="28"/>
          <w:szCs w:val="28"/>
        </w:rPr>
        <w:t>Bộ Tài chính</w:t>
      </w:r>
    </w:p>
    <w:p w14:paraId="1BD09405" w14:textId="77777777" w:rsidR="00595075" w:rsidRPr="00ED1ACF" w:rsidRDefault="00595075" w:rsidP="002E0B9B">
      <w:pPr>
        <w:spacing w:before="60"/>
        <w:ind w:firstLine="709"/>
        <w:jc w:val="both"/>
        <w:rPr>
          <w:b/>
          <w:sz w:val="28"/>
          <w:szCs w:val="28"/>
        </w:rPr>
      </w:pPr>
    </w:p>
    <w:p w14:paraId="2BCB406F" w14:textId="361BB6E8" w:rsidR="001B3D3D" w:rsidRPr="007711BD" w:rsidRDefault="00063F9E" w:rsidP="00ED1ACF">
      <w:pPr>
        <w:pStyle w:val="BodyText0"/>
        <w:tabs>
          <w:tab w:val="left" w:pos="3969"/>
        </w:tabs>
        <w:spacing w:before="120"/>
        <w:ind w:firstLine="709"/>
        <w:jc w:val="both"/>
        <w:rPr>
          <w:sz w:val="28"/>
          <w:szCs w:val="28"/>
        </w:rPr>
      </w:pPr>
      <w:r w:rsidRPr="009623FF">
        <w:rPr>
          <w:sz w:val="28"/>
          <w:szCs w:val="28"/>
        </w:rPr>
        <w:t>Thực hiện Thông tư số 29/2024/T</w:t>
      </w:r>
      <w:r w:rsidRPr="00774528">
        <w:rPr>
          <w:sz w:val="28"/>
          <w:szCs w:val="28"/>
        </w:rPr>
        <w:t xml:space="preserve">T-BTC ngày 16 </w:t>
      </w:r>
      <w:r w:rsidR="00A63B1B">
        <w:rPr>
          <w:sz w:val="28"/>
          <w:szCs w:val="28"/>
        </w:rPr>
        <w:t>tháng 6</w:t>
      </w:r>
      <w:r w:rsidRPr="00774528">
        <w:rPr>
          <w:sz w:val="28"/>
          <w:szCs w:val="28"/>
        </w:rPr>
        <w:t xml:space="preserve"> năm 2024 của </w:t>
      </w:r>
      <w:r w:rsidR="002B5950">
        <w:rPr>
          <w:sz w:val="28"/>
          <w:szCs w:val="28"/>
        </w:rPr>
        <w:t xml:space="preserve">Bộ trưởng </w:t>
      </w:r>
      <w:r w:rsidRPr="00774528">
        <w:rPr>
          <w:sz w:val="28"/>
          <w:szCs w:val="28"/>
        </w:rPr>
        <w:t>Bộ Tài chính quy định về công tác tổng hợp, phân tích, dự báo giá thị trường và kinh phí bảo đảm cho công tác tổng hợp, phân tích, dự báo giá thị trường</w:t>
      </w:r>
      <w:r w:rsidR="00AA48E7" w:rsidRPr="00774528">
        <w:rPr>
          <w:sz w:val="28"/>
          <w:szCs w:val="28"/>
        </w:rPr>
        <w:t>,</w:t>
      </w:r>
      <w:r w:rsidR="00595075" w:rsidRPr="00774528">
        <w:rPr>
          <w:sz w:val="28"/>
          <w:szCs w:val="28"/>
        </w:rPr>
        <w:t xml:space="preserve"> </w:t>
      </w:r>
      <w:r w:rsidR="00AA48E7" w:rsidRPr="00774528">
        <w:rPr>
          <w:sz w:val="28"/>
          <w:szCs w:val="28"/>
        </w:rPr>
        <w:t>Ủy</w:t>
      </w:r>
      <w:r w:rsidR="005E43FB" w:rsidRPr="00774528">
        <w:rPr>
          <w:sz w:val="28"/>
          <w:szCs w:val="28"/>
        </w:rPr>
        <w:t xml:space="preserve"> ban nhân dân</w:t>
      </w:r>
      <w:r w:rsidR="009610A2" w:rsidRPr="00774528">
        <w:rPr>
          <w:sz w:val="28"/>
          <w:szCs w:val="28"/>
        </w:rPr>
        <w:t xml:space="preserve"> </w:t>
      </w:r>
      <w:r w:rsidR="00AA48E7" w:rsidRPr="00774528">
        <w:rPr>
          <w:sz w:val="28"/>
          <w:szCs w:val="28"/>
        </w:rPr>
        <w:t xml:space="preserve">(UBND) </w:t>
      </w:r>
      <w:r w:rsidR="009610A2" w:rsidRPr="00774528">
        <w:rPr>
          <w:sz w:val="28"/>
          <w:szCs w:val="28"/>
        </w:rPr>
        <w:t>tỉnh</w:t>
      </w:r>
      <w:r w:rsidR="00595075" w:rsidRPr="00774528">
        <w:rPr>
          <w:sz w:val="28"/>
          <w:szCs w:val="28"/>
        </w:rPr>
        <w:t xml:space="preserve"> Cao Bằng báo cáo </w:t>
      </w:r>
      <w:r w:rsidR="002905EA" w:rsidRPr="00774528">
        <w:rPr>
          <w:sz w:val="28"/>
          <w:szCs w:val="28"/>
        </w:rPr>
        <w:t xml:space="preserve">giá thị trường </w:t>
      </w:r>
      <w:r w:rsidR="00A63B1B">
        <w:rPr>
          <w:sz w:val="28"/>
          <w:szCs w:val="28"/>
        </w:rPr>
        <w:t>tháng 6</w:t>
      </w:r>
      <w:r w:rsidR="006678CB">
        <w:rPr>
          <w:sz w:val="28"/>
          <w:szCs w:val="28"/>
        </w:rPr>
        <w:t>, quý II, 06 tháng đầu</w:t>
      </w:r>
      <w:r w:rsidR="00224382" w:rsidRPr="00774528">
        <w:rPr>
          <w:sz w:val="28"/>
          <w:szCs w:val="28"/>
        </w:rPr>
        <w:t xml:space="preserve"> năm </w:t>
      </w:r>
      <w:r w:rsidR="00244398" w:rsidRPr="00774528">
        <w:rPr>
          <w:sz w:val="28"/>
          <w:szCs w:val="28"/>
        </w:rPr>
        <w:t>2025</w:t>
      </w:r>
      <w:r w:rsidR="00224382" w:rsidRPr="00774528">
        <w:rPr>
          <w:sz w:val="28"/>
          <w:szCs w:val="28"/>
        </w:rPr>
        <w:t xml:space="preserve"> </w:t>
      </w:r>
      <w:r w:rsidR="00595075" w:rsidRPr="00774528">
        <w:rPr>
          <w:sz w:val="28"/>
          <w:szCs w:val="28"/>
        </w:rPr>
        <w:t xml:space="preserve">trên địa bàn tỉnh như sau: </w:t>
      </w:r>
    </w:p>
    <w:p w14:paraId="2F73BA24" w14:textId="49F20076" w:rsidR="00B05354" w:rsidRPr="00774528" w:rsidRDefault="00B05354" w:rsidP="00ED1ACF">
      <w:pPr>
        <w:spacing w:before="120" w:after="120"/>
        <w:ind w:firstLine="709"/>
        <w:jc w:val="both"/>
        <w:rPr>
          <w:b/>
          <w:spacing w:val="-6"/>
          <w:sz w:val="28"/>
          <w:szCs w:val="28"/>
          <w:lang w:val="pt-BR"/>
        </w:rPr>
      </w:pPr>
      <w:r w:rsidRPr="00774528">
        <w:rPr>
          <w:b/>
          <w:spacing w:val="-6"/>
          <w:sz w:val="28"/>
          <w:szCs w:val="28"/>
          <w:lang w:val="pt-BR"/>
        </w:rPr>
        <w:t>I. TỔNG QU</w:t>
      </w:r>
      <w:r w:rsidR="001E0912" w:rsidRPr="00774528">
        <w:rPr>
          <w:b/>
          <w:spacing w:val="-6"/>
          <w:sz w:val="28"/>
          <w:szCs w:val="28"/>
          <w:lang w:val="pt-BR"/>
        </w:rPr>
        <w:t>A</w:t>
      </w:r>
      <w:r w:rsidR="00835824" w:rsidRPr="00774528">
        <w:rPr>
          <w:b/>
          <w:spacing w:val="-6"/>
          <w:sz w:val="28"/>
          <w:szCs w:val="28"/>
          <w:lang w:val="pt-BR"/>
        </w:rPr>
        <w:t xml:space="preserve">N VỀ TÌNH HÌNH THỊ TRƯỜNG </w:t>
      </w:r>
      <w:r w:rsidR="00A63B1B">
        <w:rPr>
          <w:b/>
          <w:spacing w:val="-6"/>
          <w:sz w:val="28"/>
          <w:szCs w:val="28"/>
          <w:lang w:val="pt-BR"/>
        </w:rPr>
        <w:t>THÁNG 6</w:t>
      </w:r>
      <w:r w:rsidR="00821505">
        <w:rPr>
          <w:b/>
          <w:spacing w:val="-6"/>
          <w:sz w:val="28"/>
          <w:szCs w:val="28"/>
          <w:lang w:val="pt-BR"/>
        </w:rPr>
        <w:t>, QUÝ II, 06 THÁNG ĐẦU</w:t>
      </w:r>
      <w:r w:rsidR="001B21A7" w:rsidRPr="00774528">
        <w:rPr>
          <w:b/>
          <w:spacing w:val="-6"/>
          <w:sz w:val="28"/>
          <w:szCs w:val="28"/>
          <w:lang w:val="pt-BR"/>
        </w:rPr>
        <w:t xml:space="preserve"> NĂM </w:t>
      </w:r>
      <w:r w:rsidR="00244398" w:rsidRPr="00774528">
        <w:rPr>
          <w:b/>
          <w:spacing w:val="-6"/>
          <w:sz w:val="28"/>
          <w:szCs w:val="28"/>
          <w:lang w:val="pt-BR"/>
        </w:rPr>
        <w:t>2025</w:t>
      </w:r>
    </w:p>
    <w:p w14:paraId="05B8CC6D" w14:textId="77777777" w:rsidR="00627AC4" w:rsidRPr="00774528" w:rsidRDefault="00841633" w:rsidP="00ED1ACF">
      <w:pPr>
        <w:spacing w:before="120" w:after="120"/>
        <w:ind w:firstLine="709"/>
        <w:jc w:val="both"/>
        <w:rPr>
          <w:b/>
          <w:sz w:val="28"/>
          <w:szCs w:val="28"/>
        </w:rPr>
      </w:pPr>
      <w:r w:rsidRPr="00774528">
        <w:rPr>
          <w:b/>
          <w:sz w:val="28"/>
          <w:szCs w:val="28"/>
        </w:rPr>
        <w:t>1. M</w:t>
      </w:r>
      <w:r w:rsidRPr="00774528">
        <w:rPr>
          <w:b/>
          <w:sz w:val="28"/>
          <w:szCs w:val="28"/>
          <w:lang w:val="vi-VN"/>
        </w:rPr>
        <w:t xml:space="preserve">ặt bằng giá </w:t>
      </w:r>
      <w:r w:rsidR="00035784" w:rsidRPr="00774528">
        <w:rPr>
          <w:b/>
          <w:sz w:val="28"/>
          <w:szCs w:val="28"/>
        </w:rPr>
        <w:t>thị trường và</w:t>
      </w:r>
      <w:r w:rsidR="00827EEC" w:rsidRPr="00774528">
        <w:rPr>
          <w:b/>
          <w:sz w:val="28"/>
          <w:szCs w:val="28"/>
        </w:rPr>
        <w:t xml:space="preserve"> </w:t>
      </w:r>
      <w:r w:rsidRPr="00774528">
        <w:rPr>
          <w:b/>
          <w:sz w:val="28"/>
          <w:szCs w:val="28"/>
          <w:lang w:val="vi-VN"/>
        </w:rPr>
        <w:t xml:space="preserve">diễn biến </w:t>
      </w:r>
      <w:r w:rsidRPr="00774528">
        <w:rPr>
          <w:b/>
          <w:sz w:val="28"/>
          <w:szCs w:val="28"/>
        </w:rPr>
        <w:t xml:space="preserve">mặt bằng </w:t>
      </w:r>
      <w:r w:rsidRPr="00774528">
        <w:rPr>
          <w:b/>
          <w:sz w:val="28"/>
          <w:szCs w:val="28"/>
          <w:lang w:val="vi-VN"/>
        </w:rPr>
        <w:t xml:space="preserve">giá </w:t>
      </w:r>
      <w:r w:rsidRPr="00774528">
        <w:rPr>
          <w:b/>
          <w:sz w:val="28"/>
          <w:szCs w:val="28"/>
        </w:rPr>
        <w:t xml:space="preserve">thị trường </w:t>
      </w:r>
      <w:r w:rsidRPr="00774528">
        <w:rPr>
          <w:b/>
          <w:sz w:val="28"/>
          <w:szCs w:val="28"/>
          <w:lang w:val="vi-VN"/>
        </w:rPr>
        <w:t>hàng hóa, dịch vụ</w:t>
      </w:r>
    </w:p>
    <w:p w14:paraId="7876943D" w14:textId="1AC22793" w:rsidR="0018637D" w:rsidRDefault="00A63B1B" w:rsidP="00ED1ACF">
      <w:pPr>
        <w:spacing w:before="120" w:after="120"/>
        <w:ind w:firstLine="709"/>
        <w:jc w:val="both"/>
        <w:rPr>
          <w:sz w:val="28"/>
          <w:szCs w:val="28"/>
        </w:rPr>
      </w:pPr>
      <w:r w:rsidRPr="00A63B1B">
        <w:rPr>
          <w:sz w:val="28"/>
          <w:szCs w:val="28"/>
        </w:rPr>
        <w:t>Bối</w:t>
      </w:r>
      <w:r>
        <w:rPr>
          <w:sz w:val="28"/>
          <w:szCs w:val="28"/>
        </w:rPr>
        <w:t xml:space="preserve"> </w:t>
      </w:r>
      <w:r w:rsidRPr="00A63B1B">
        <w:rPr>
          <w:sz w:val="28"/>
          <w:szCs w:val="28"/>
        </w:rPr>
        <w:t>cảnh quốc tế, khu vực tiếp tục có những diễn biến phức tạp, khó lường; cạnh</w:t>
      </w:r>
      <w:r>
        <w:rPr>
          <w:sz w:val="28"/>
          <w:szCs w:val="28"/>
        </w:rPr>
        <w:t xml:space="preserve"> </w:t>
      </w:r>
      <w:r w:rsidRPr="00A63B1B">
        <w:rPr>
          <w:sz w:val="28"/>
          <w:szCs w:val="28"/>
        </w:rPr>
        <w:t>tranh chiến lược giữa các nước lớn gay gắt; xung đột quân sự gia tăng tại một số</w:t>
      </w:r>
      <w:r>
        <w:rPr>
          <w:sz w:val="28"/>
          <w:szCs w:val="28"/>
        </w:rPr>
        <w:t xml:space="preserve"> </w:t>
      </w:r>
      <w:r w:rsidRPr="00A63B1B">
        <w:rPr>
          <w:sz w:val="28"/>
          <w:szCs w:val="28"/>
        </w:rPr>
        <w:t>quốc gia, khu vực; chiến tranh thương mại chưa chấm dứt do sự thay đổi nhanh</w:t>
      </w:r>
      <w:r>
        <w:rPr>
          <w:sz w:val="28"/>
          <w:szCs w:val="28"/>
        </w:rPr>
        <w:t xml:space="preserve"> </w:t>
      </w:r>
      <w:r w:rsidRPr="00A63B1B">
        <w:rPr>
          <w:sz w:val="28"/>
          <w:szCs w:val="28"/>
        </w:rPr>
        <w:t>chóng trong chính sách thuế quan của Hoa Kỳ, tiềm ẩn rủi ro đối với tăng trưởng</w:t>
      </w:r>
      <w:r>
        <w:rPr>
          <w:sz w:val="28"/>
          <w:szCs w:val="28"/>
        </w:rPr>
        <w:t xml:space="preserve"> </w:t>
      </w:r>
      <w:r w:rsidRPr="00A63B1B">
        <w:rPr>
          <w:sz w:val="28"/>
          <w:szCs w:val="28"/>
        </w:rPr>
        <w:t>kinh tế thế giới. Trong nước, nền kinh tế duy trì đà tăng trưởng tích cực; các giải</w:t>
      </w:r>
      <w:r>
        <w:rPr>
          <w:sz w:val="28"/>
          <w:szCs w:val="28"/>
        </w:rPr>
        <w:t xml:space="preserve"> </w:t>
      </w:r>
      <w:r w:rsidRPr="00A63B1B">
        <w:rPr>
          <w:sz w:val="28"/>
          <w:szCs w:val="28"/>
        </w:rPr>
        <w:t>pháp ổn định vĩ mô, thúc đẩy chuyển đổi số, đổi mới sáng tạo, tinh gọn bộ máy</w:t>
      </w:r>
      <w:r>
        <w:rPr>
          <w:sz w:val="28"/>
          <w:szCs w:val="28"/>
        </w:rPr>
        <w:t xml:space="preserve"> </w:t>
      </w:r>
      <w:r w:rsidRPr="00A63B1B">
        <w:rPr>
          <w:sz w:val="28"/>
          <w:szCs w:val="28"/>
        </w:rPr>
        <w:t>hành chính tiếp tục được triển khai quyết liệt, đồng bộ; quốc phòng, an ninh</w:t>
      </w:r>
      <w:r>
        <w:rPr>
          <w:sz w:val="28"/>
          <w:szCs w:val="28"/>
        </w:rPr>
        <w:t xml:space="preserve"> </w:t>
      </w:r>
      <w:r w:rsidRPr="00A63B1B">
        <w:rPr>
          <w:sz w:val="28"/>
          <w:szCs w:val="28"/>
        </w:rPr>
        <w:t xml:space="preserve">được giữ vững; an sinh xã </w:t>
      </w:r>
      <w:r w:rsidR="0018637D">
        <w:rPr>
          <w:sz w:val="28"/>
          <w:szCs w:val="28"/>
        </w:rPr>
        <w:t xml:space="preserve">hội được đảm bảo. </w:t>
      </w:r>
    </w:p>
    <w:p w14:paraId="216B0A7A" w14:textId="683FF3BD" w:rsidR="00A63B1B" w:rsidRDefault="00A63B1B" w:rsidP="00ED1ACF">
      <w:pPr>
        <w:spacing w:before="120" w:after="120"/>
        <w:ind w:firstLine="709"/>
        <w:jc w:val="both"/>
        <w:rPr>
          <w:sz w:val="28"/>
          <w:szCs w:val="28"/>
        </w:rPr>
      </w:pPr>
      <w:r w:rsidRPr="00A63B1B">
        <w:rPr>
          <w:sz w:val="28"/>
          <w:szCs w:val="28"/>
        </w:rPr>
        <w:t>Đối với tỉnh Cao Bằng, tình hình</w:t>
      </w:r>
      <w:r>
        <w:rPr>
          <w:sz w:val="28"/>
          <w:szCs w:val="28"/>
        </w:rPr>
        <w:t xml:space="preserve"> </w:t>
      </w:r>
      <w:r w:rsidRPr="00A63B1B">
        <w:rPr>
          <w:sz w:val="28"/>
          <w:szCs w:val="28"/>
        </w:rPr>
        <w:t>kinh tế - xã hội có nhiều chuyển biến tích cực, công tác sắp xếp tổ chức bộ máy,</w:t>
      </w:r>
      <w:r>
        <w:rPr>
          <w:sz w:val="28"/>
          <w:szCs w:val="28"/>
        </w:rPr>
        <w:t xml:space="preserve"> </w:t>
      </w:r>
      <w:r w:rsidRPr="00A63B1B">
        <w:rPr>
          <w:sz w:val="28"/>
          <w:szCs w:val="28"/>
        </w:rPr>
        <w:t>xây dựng mô hình chính quyền địa phương 2 cấp được thực hiện khẩn trương;</w:t>
      </w:r>
      <w:r>
        <w:rPr>
          <w:sz w:val="28"/>
          <w:szCs w:val="28"/>
        </w:rPr>
        <w:t xml:space="preserve"> </w:t>
      </w:r>
      <w:r w:rsidRPr="00A63B1B">
        <w:rPr>
          <w:sz w:val="28"/>
          <w:szCs w:val="28"/>
        </w:rPr>
        <w:t>hoạt động đối ngoại được đẩy mạnh, quốc phòng, an ninh, trật tự an toàn xã hội</w:t>
      </w:r>
      <w:r>
        <w:rPr>
          <w:sz w:val="28"/>
          <w:szCs w:val="28"/>
        </w:rPr>
        <w:t xml:space="preserve"> </w:t>
      </w:r>
      <w:r w:rsidRPr="00A63B1B">
        <w:rPr>
          <w:sz w:val="28"/>
          <w:szCs w:val="28"/>
        </w:rPr>
        <w:t>được đảm bảo; tuy nhiên kinh tế - xã hội của tỉnh còn một số tồn tại, hạn chế</w:t>
      </w:r>
      <w:r>
        <w:rPr>
          <w:sz w:val="28"/>
          <w:szCs w:val="28"/>
        </w:rPr>
        <w:t xml:space="preserve"> </w:t>
      </w:r>
      <w:r w:rsidRPr="00A63B1B">
        <w:rPr>
          <w:sz w:val="28"/>
          <w:szCs w:val="28"/>
        </w:rPr>
        <w:t>như: các động lực tăng trưởng chưa có sự bứt phá rõ nét; khả năng hấp thụ vốn</w:t>
      </w:r>
      <w:r>
        <w:rPr>
          <w:sz w:val="28"/>
          <w:szCs w:val="28"/>
        </w:rPr>
        <w:t xml:space="preserve"> </w:t>
      </w:r>
      <w:r w:rsidRPr="00A63B1B">
        <w:rPr>
          <w:sz w:val="28"/>
          <w:szCs w:val="28"/>
        </w:rPr>
        <w:t>và sức cầu của nền kinh tế còn yếu; chi phí sản xuất có xu hướng tăng, hoạt</w:t>
      </w:r>
      <w:r>
        <w:rPr>
          <w:sz w:val="28"/>
          <w:szCs w:val="28"/>
        </w:rPr>
        <w:t xml:space="preserve"> </w:t>
      </w:r>
      <w:r w:rsidRPr="00A63B1B">
        <w:rPr>
          <w:sz w:val="28"/>
          <w:szCs w:val="28"/>
        </w:rPr>
        <w:t>động sản xuất kinh doanh trong một số ngành, lĩnh vực còn khó khăn; cơ sở hạ</w:t>
      </w:r>
      <w:r>
        <w:rPr>
          <w:sz w:val="28"/>
          <w:szCs w:val="28"/>
        </w:rPr>
        <w:t xml:space="preserve"> </w:t>
      </w:r>
      <w:r w:rsidRPr="00A63B1B">
        <w:rPr>
          <w:sz w:val="28"/>
          <w:szCs w:val="28"/>
        </w:rPr>
        <w:t>tầng thiếu và yếu, chưa đồng bộ; đời sống của một bộ phận Nhân dân vẫn còn</w:t>
      </w:r>
      <w:r>
        <w:rPr>
          <w:sz w:val="28"/>
          <w:szCs w:val="28"/>
        </w:rPr>
        <w:t xml:space="preserve"> </w:t>
      </w:r>
      <w:r w:rsidRPr="00A63B1B">
        <w:rPr>
          <w:sz w:val="28"/>
          <w:szCs w:val="28"/>
        </w:rPr>
        <w:t>khó khăn; tình hình an ninh, trật tự an toàn xã hội ở một số địa bàn, trên không</w:t>
      </w:r>
      <w:r>
        <w:rPr>
          <w:sz w:val="28"/>
          <w:szCs w:val="28"/>
        </w:rPr>
        <w:t xml:space="preserve"> </w:t>
      </w:r>
      <w:r w:rsidRPr="00A63B1B">
        <w:rPr>
          <w:sz w:val="28"/>
          <w:szCs w:val="28"/>
        </w:rPr>
        <w:t>gian mạng, tội phạm công nghệ cao tiềm ẩn yếu tố phức tạp.</w:t>
      </w:r>
    </w:p>
    <w:p w14:paraId="76090340" w14:textId="77777777" w:rsidR="00370368" w:rsidRPr="00774528" w:rsidRDefault="0021193A" w:rsidP="00ED1ACF">
      <w:pPr>
        <w:pStyle w:val="BodyText21"/>
        <w:shd w:val="clear" w:color="auto" w:fill="auto"/>
        <w:spacing w:before="120"/>
        <w:ind w:firstLine="709"/>
        <w:jc w:val="both"/>
      </w:pPr>
      <w:r w:rsidRPr="00774528">
        <w:t>Thực hiện</w:t>
      </w:r>
      <w:r w:rsidR="00C53A7D" w:rsidRPr="00774528">
        <w:t xml:space="preserve"> chỉ đạo của </w:t>
      </w:r>
      <w:r w:rsidR="00B6292E" w:rsidRPr="00774528">
        <w:t xml:space="preserve">Chính phủ, Thủ tướng Chính phủ, </w:t>
      </w:r>
      <w:r w:rsidR="000537D0" w:rsidRPr="00774528">
        <w:t xml:space="preserve">các </w:t>
      </w:r>
      <w:r w:rsidR="005F5131" w:rsidRPr="00774528">
        <w:t>b</w:t>
      </w:r>
      <w:r w:rsidR="000537D0" w:rsidRPr="00774528">
        <w:t>ộ, ngành</w:t>
      </w:r>
      <w:r w:rsidR="005F5131" w:rsidRPr="00774528">
        <w:t xml:space="preserve"> trung ương</w:t>
      </w:r>
      <w:r w:rsidR="00B17A51" w:rsidRPr="00774528">
        <w:t>,</w:t>
      </w:r>
      <w:r w:rsidR="00B31B05" w:rsidRPr="00774528">
        <w:t xml:space="preserve"> UBND tỉnh </w:t>
      </w:r>
      <w:r w:rsidR="00371910" w:rsidRPr="00774528">
        <w:t xml:space="preserve">đã chỉ đạo các </w:t>
      </w:r>
      <w:r w:rsidR="00AA2FA0" w:rsidRPr="00774528">
        <w:t>s</w:t>
      </w:r>
      <w:r w:rsidR="00371910" w:rsidRPr="00774528">
        <w:t xml:space="preserve">ở, ngành, địa phương </w:t>
      </w:r>
      <w:r w:rsidR="000537D0" w:rsidRPr="00774528">
        <w:t xml:space="preserve">triển khai </w:t>
      </w:r>
      <w:r w:rsidR="009F6F4D" w:rsidRPr="00774528">
        <w:t xml:space="preserve">các nhiệm vụ về công tác quản lý và điều hành giá; </w:t>
      </w:r>
      <w:r w:rsidR="00D04772" w:rsidRPr="00774528">
        <w:t xml:space="preserve">tăng cường tổ chức theo dõi sát </w:t>
      </w:r>
      <w:r w:rsidR="00D04772" w:rsidRPr="00774528">
        <w:lastRenderedPageBreak/>
        <w:t xml:space="preserve">diễn biến cung cầu, giá cả thị trường </w:t>
      </w:r>
      <w:r w:rsidR="0097794C" w:rsidRPr="00774528">
        <w:t xml:space="preserve">để </w:t>
      </w:r>
      <w:r w:rsidR="00D04772" w:rsidRPr="00774528">
        <w:t>có biện pháp điều hành phù hợp</w:t>
      </w:r>
      <w:r w:rsidR="00BE0985" w:rsidRPr="00774528">
        <w:t xml:space="preserve">; chỉ đạo tập trung </w:t>
      </w:r>
      <w:r w:rsidR="00264459" w:rsidRPr="00774528">
        <w:t>công tác quản lý điều hành giá, góp phần vào kiểm soát lạm phát, cũng như đảm bảo hoạt động cung ứng hàng hóa, dịch vụ trên thị trường</w:t>
      </w:r>
      <w:r w:rsidR="00FC15B0" w:rsidRPr="00774528">
        <w:t xml:space="preserve"> đặc biệt là </w:t>
      </w:r>
      <w:r w:rsidR="00324DB1" w:rsidRPr="00774528">
        <w:t>các mặt hàng thiết yếu</w:t>
      </w:r>
      <w:r w:rsidR="006142D8" w:rsidRPr="00774528">
        <w:t xml:space="preserve">, </w:t>
      </w:r>
      <w:r w:rsidR="006142D8" w:rsidRPr="00774528">
        <w:rPr>
          <w:color w:val="000000"/>
          <w:lang w:eastAsia="vi-VN" w:bidi="vi-VN"/>
        </w:rPr>
        <w:t xml:space="preserve">nhằm </w:t>
      </w:r>
      <w:r w:rsidR="006142D8" w:rsidRPr="00774528">
        <w:t>đảm bảo nguồn cung ứng và giá cả hàng hóa ổn định, đáp ứng nhu cầu người dân và doanh nghiệp</w:t>
      </w:r>
      <w:r w:rsidR="00264459" w:rsidRPr="00774528">
        <w:t xml:space="preserve">. </w:t>
      </w:r>
      <w:r w:rsidR="00805C13" w:rsidRPr="00774528">
        <w:t>Do đó</w:t>
      </w:r>
      <w:r w:rsidR="00264459" w:rsidRPr="00774528">
        <w:t xml:space="preserve">, giá cả các mặt hàng lương thực, thực phẩm </w:t>
      </w:r>
      <w:r w:rsidR="009A54FF" w:rsidRPr="00774528">
        <w:t>ổn định</w:t>
      </w:r>
      <w:r w:rsidR="00264459" w:rsidRPr="00774528">
        <w:t xml:space="preserve">; các cửa hàng xăng dầu vẫn cung cấp hàng đảm bảo, đáp ứng nhu cầu người dân, doanh nghiệp. </w:t>
      </w:r>
    </w:p>
    <w:p w14:paraId="65994D40" w14:textId="783F454D" w:rsidR="00370368" w:rsidRDefault="00DE1617" w:rsidP="00ED1ACF">
      <w:pPr>
        <w:pStyle w:val="BodyText21"/>
        <w:shd w:val="clear" w:color="auto" w:fill="auto"/>
        <w:spacing w:before="120"/>
        <w:ind w:firstLine="709"/>
        <w:jc w:val="both"/>
        <w:rPr>
          <w:b/>
          <w:lang w:val="nl-NL"/>
        </w:rPr>
      </w:pPr>
      <w:r w:rsidRPr="00774528">
        <w:rPr>
          <w:b/>
          <w:lang w:val="pt-BR"/>
        </w:rPr>
        <w:t>2</w:t>
      </w:r>
      <w:r w:rsidR="00841633" w:rsidRPr="00774528">
        <w:rPr>
          <w:b/>
          <w:lang w:val="pt-BR"/>
        </w:rPr>
        <w:t xml:space="preserve">. </w:t>
      </w:r>
      <w:r w:rsidR="007463AF" w:rsidRPr="00774528">
        <w:rPr>
          <w:b/>
          <w:lang w:val="nl-NL"/>
        </w:rPr>
        <w:t xml:space="preserve">Tình hình biến động giá cả </w:t>
      </w:r>
      <w:r w:rsidR="00A63B1B">
        <w:rPr>
          <w:b/>
          <w:lang w:val="nl-NL"/>
        </w:rPr>
        <w:t>tháng 6</w:t>
      </w:r>
      <w:r w:rsidR="00220819" w:rsidRPr="00774528">
        <w:rPr>
          <w:b/>
          <w:lang w:val="nl-NL"/>
        </w:rPr>
        <w:t xml:space="preserve"> năm </w:t>
      </w:r>
      <w:r w:rsidR="00244398" w:rsidRPr="00774528">
        <w:rPr>
          <w:b/>
          <w:lang w:val="nl-NL"/>
        </w:rPr>
        <w:t>2025</w:t>
      </w:r>
    </w:p>
    <w:p w14:paraId="788F6CC0" w14:textId="5006B87B" w:rsidR="00492AC8" w:rsidRPr="00BC2E63" w:rsidRDefault="00492AC8" w:rsidP="00ED1ACF">
      <w:pPr>
        <w:spacing w:before="120" w:after="120"/>
        <w:ind w:firstLine="709"/>
        <w:jc w:val="both"/>
        <w:rPr>
          <w:sz w:val="28"/>
          <w:szCs w:val="28"/>
        </w:rPr>
      </w:pPr>
      <w:r w:rsidRPr="00BC2E63">
        <w:rPr>
          <w:sz w:val="28"/>
          <w:szCs w:val="28"/>
        </w:rPr>
        <w:t xml:space="preserve">Chỉ số giá tiêu dùng (CPI) tháng 6 năm 2025 trên địa bàn tỉnh Cao Bằng có biến động tăng so với tháng trước. Cụ thể: </w:t>
      </w:r>
      <w:r w:rsidR="00A128EB">
        <w:rPr>
          <w:sz w:val="28"/>
          <w:szCs w:val="28"/>
        </w:rPr>
        <w:t>c</w:t>
      </w:r>
      <w:r w:rsidRPr="00BC2E63">
        <w:rPr>
          <w:sz w:val="28"/>
          <w:szCs w:val="28"/>
        </w:rPr>
        <w:t xml:space="preserve">hỉ số CPI chung trong tháng tăng 0,11% so với tháng trước; </w:t>
      </w:r>
      <w:r w:rsidR="00A128EB">
        <w:rPr>
          <w:sz w:val="28"/>
          <w:szCs w:val="28"/>
        </w:rPr>
        <w:t>t</w:t>
      </w:r>
      <w:r w:rsidRPr="00BC2E63">
        <w:rPr>
          <w:sz w:val="28"/>
          <w:szCs w:val="28"/>
        </w:rPr>
        <w:t xml:space="preserve">ăng 2,71% so với cùng tháng năm trước; </w:t>
      </w:r>
      <w:r w:rsidR="00A128EB">
        <w:rPr>
          <w:sz w:val="28"/>
          <w:szCs w:val="28"/>
        </w:rPr>
        <w:t>t</w:t>
      </w:r>
      <w:r w:rsidRPr="00BC2E63">
        <w:rPr>
          <w:sz w:val="28"/>
          <w:szCs w:val="28"/>
        </w:rPr>
        <w:t xml:space="preserve">ăng 1,86% so với tháng 12 năm trước; </w:t>
      </w:r>
      <w:r w:rsidR="00A128EB">
        <w:rPr>
          <w:sz w:val="28"/>
          <w:szCs w:val="28"/>
        </w:rPr>
        <w:t>t</w:t>
      </w:r>
      <w:r w:rsidRPr="00BC2E63">
        <w:rPr>
          <w:sz w:val="28"/>
          <w:szCs w:val="28"/>
        </w:rPr>
        <w:t>ăng 2,19% so với bình quân cùng kỳ.</w:t>
      </w:r>
    </w:p>
    <w:p w14:paraId="314BF943" w14:textId="6B3050C5" w:rsidR="00492AC8" w:rsidRPr="00BC2E63" w:rsidRDefault="00492AC8" w:rsidP="00ED1ACF">
      <w:pPr>
        <w:spacing w:before="120" w:after="120"/>
        <w:ind w:firstLine="709"/>
        <w:jc w:val="both"/>
        <w:rPr>
          <w:sz w:val="28"/>
          <w:szCs w:val="28"/>
        </w:rPr>
      </w:pPr>
      <w:r w:rsidRPr="00BC2E63">
        <w:rPr>
          <w:sz w:val="28"/>
          <w:szCs w:val="28"/>
        </w:rPr>
        <w:t xml:space="preserve">Trong 11 nhóm hàng hóa và dịch vụ tiêu dùng chính thì có 04 nhóm hàng có xu hướng tăng so với tháng trước. Cụ thể: </w:t>
      </w:r>
      <w:r w:rsidR="00A128EB">
        <w:rPr>
          <w:sz w:val="28"/>
          <w:szCs w:val="28"/>
        </w:rPr>
        <w:t>n</w:t>
      </w:r>
      <w:r w:rsidRPr="00BC2E63">
        <w:rPr>
          <w:sz w:val="28"/>
          <w:szCs w:val="28"/>
        </w:rPr>
        <w:t xml:space="preserve">hà ở, điện nước, chất đốt và vật liệu xây dựng tăng 0,66%; </w:t>
      </w:r>
      <w:r w:rsidR="00A128EB">
        <w:rPr>
          <w:sz w:val="28"/>
          <w:szCs w:val="28"/>
        </w:rPr>
        <w:t>t</w:t>
      </w:r>
      <w:r w:rsidRPr="00BC2E63">
        <w:rPr>
          <w:sz w:val="28"/>
          <w:szCs w:val="28"/>
        </w:rPr>
        <w:t xml:space="preserve">hiết bị và đồ dùng gia đình tăng 0,03%; </w:t>
      </w:r>
      <w:r w:rsidR="00A128EB">
        <w:rPr>
          <w:sz w:val="28"/>
          <w:szCs w:val="28"/>
        </w:rPr>
        <w:t>t</w:t>
      </w:r>
      <w:r w:rsidRPr="00BC2E63">
        <w:rPr>
          <w:sz w:val="28"/>
          <w:szCs w:val="28"/>
        </w:rPr>
        <w:t xml:space="preserve">huốc và dịch vụ y tế tăng 0,05%; </w:t>
      </w:r>
      <w:r w:rsidR="00A128EB">
        <w:rPr>
          <w:sz w:val="28"/>
          <w:szCs w:val="28"/>
        </w:rPr>
        <w:t>g</w:t>
      </w:r>
      <w:r w:rsidRPr="00BC2E63">
        <w:rPr>
          <w:sz w:val="28"/>
          <w:szCs w:val="28"/>
        </w:rPr>
        <w:t xml:space="preserve">iao thông tăng 1,30%. Ngược lại, có 03 nhóm hàng chỉ số giá giảm: </w:t>
      </w:r>
      <w:r w:rsidR="00A128EB">
        <w:rPr>
          <w:sz w:val="28"/>
          <w:szCs w:val="28"/>
        </w:rPr>
        <w:t>h</w:t>
      </w:r>
      <w:r w:rsidRPr="00BC2E63">
        <w:rPr>
          <w:sz w:val="28"/>
          <w:szCs w:val="28"/>
        </w:rPr>
        <w:t xml:space="preserve">àng ăn và dịch vụ ăn uống giảm 0,39%; </w:t>
      </w:r>
      <w:r w:rsidR="00A128EB">
        <w:rPr>
          <w:sz w:val="28"/>
          <w:szCs w:val="28"/>
        </w:rPr>
        <w:t>m</w:t>
      </w:r>
      <w:r w:rsidRPr="00BC2E63">
        <w:rPr>
          <w:sz w:val="28"/>
          <w:szCs w:val="28"/>
        </w:rPr>
        <w:t xml:space="preserve">ay mặc, mũ nón, giày dép giảm 0,16%; Hàng hoá và dịch vụ khác giảm 0,03%. Riêng các nhóm </w:t>
      </w:r>
      <w:r w:rsidR="00A128EB">
        <w:rPr>
          <w:sz w:val="28"/>
          <w:szCs w:val="28"/>
        </w:rPr>
        <w:t>đ</w:t>
      </w:r>
      <w:r w:rsidRPr="00BC2E63">
        <w:rPr>
          <w:sz w:val="28"/>
          <w:szCs w:val="28"/>
        </w:rPr>
        <w:t xml:space="preserve">ồ uống và thuốc lá; Bưu chính viễn thông; </w:t>
      </w:r>
      <w:r w:rsidR="00A128EB">
        <w:rPr>
          <w:sz w:val="28"/>
          <w:szCs w:val="28"/>
        </w:rPr>
        <w:t>g</w:t>
      </w:r>
      <w:r w:rsidRPr="00BC2E63">
        <w:rPr>
          <w:sz w:val="28"/>
          <w:szCs w:val="28"/>
        </w:rPr>
        <w:t xml:space="preserve">iáo dục; </w:t>
      </w:r>
      <w:r w:rsidR="00A128EB">
        <w:rPr>
          <w:sz w:val="28"/>
          <w:szCs w:val="28"/>
        </w:rPr>
        <w:t>v</w:t>
      </w:r>
      <w:r w:rsidRPr="00BC2E63">
        <w:rPr>
          <w:sz w:val="28"/>
          <w:szCs w:val="28"/>
        </w:rPr>
        <w:t>ăn hóa, gải trí và du lịch có chỉ số giá không tăng không giảm so với tháng trước.</w:t>
      </w:r>
    </w:p>
    <w:p w14:paraId="4AA64E64" w14:textId="77777777" w:rsidR="00492AC8" w:rsidRPr="00BC2E63" w:rsidRDefault="00492AC8" w:rsidP="00ED1ACF">
      <w:pPr>
        <w:spacing w:before="120" w:after="120"/>
        <w:ind w:firstLine="709"/>
        <w:jc w:val="both"/>
        <w:rPr>
          <w:sz w:val="28"/>
          <w:szCs w:val="28"/>
        </w:rPr>
      </w:pPr>
      <w:r w:rsidRPr="00BC2E63">
        <w:rPr>
          <w:sz w:val="28"/>
          <w:szCs w:val="28"/>
        </w:rPr>
        <w:t>Chỉ số giá Vàng trong tháng giảm 3,38%; Chỉ số giá Đô la trong tháng tăng 0,22% so với tháng trước.</w:t>
      </w:r>
    </w:p>
    <w:p w14:paraId="68139E4E" w14:textId="46FE82C5" w:rsidR="000E07F5" w:rsidRPr="00AA1336" w:rsidRDefault="002F51B7" w:rsidP="009A361F">
      <w:pPr>
        <w:pStyle w:val="BodyText21"/>
        <w:shd w:val="clear" w:color="auto" w:fill="auto"/>
        <w:spacing w:before="120" w:after="0"/>
        <w:ind w:firstLine="709"/>
        <w:jc w:val="both"/>
        <w:rPr>
          <w:b/>
          <w:lang w:val="nl-NL"/>
        </w:rPr>
      </w:pPr>
      <w:r>
        <w:rPr>
          <w:noProof/>
        </w:rPr>
        <w:drawing>
          <wp:anchor distT="0" distB="0" distL="114300" distR="114300" simplePos="0" relativeHeight="251660800" behindDoc="0" locked="0" layoutInCell="1" allowOverlap="1" wp14:anchorId="78874B7E" wp14:editId="358A1882">
            <wp:simplePos x="0" y="0"/>
            <wp:positionH relativeFrom="column">
              <wp:posOffset>-3810</wp:posOffset>
            </wp:positionH>
            <wp:positionV relativeFrom="paragraph">
              <wp:posOffset>121285</wp:posOffset>
            </wp:positionV>
            <wp:extent cx="5715000" cy="3314700"/>
            <wp:effectExtent l="0" t="0" r="0" b="0"/>
            <wp:wrapSquare wrapText="bothSides"/>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AC6FAB" w:rsidRPr="00AA1336">
        <w:rPr>
          <w:b/>
          <w:lang w:val="pt-BR"/>
        </w:rPr>
        <w:t>3</w:t>
      </w:r>
      <w:r w:rsidR="00FB0F03" w:rsidRPr="00AA1336">
        <w:rPr>
          <w:b/>
          <w:lang w:val="pt-BR"/>
        </w:rPr>
        <w:t xml:space="preserve">. </w:t>
      </w:r>
      <w:r w:rsidR="000E07F5" w:rsidRPr="00AA1336">
        <w:rPr>
          <w:b/>
          <w:lang w:val="nl-NL"/>
        </w:rPr>
        <w:t>Tình hình biến động giá cả Quý II năm 2025</w:t>
      </w:r>
    </w:p>
    <w:p w14:paraId="271A1F6F" w14:textId="77777777" w:rsidR="00D63D03" w:rsidRPr="00AA1336" w:rsidRDefault="00D63D03" w:rsidP="00ED1ACF">
      <w:pPr>
        <w:spacing w:before="120" w:after="120"/>
        <w:ind w:firstLine="709"/>
        <w:jc w:val="both"/>
        <w:rPr>
          <w:sz w:val="28"/>
          <w:szCs w:val="28"/>
        </w:rPr>
      </w:pPr>
      <w:r w:rsidRPr="00AA1336">
        <w:rPr>
          <w:sz w:val="28"/>
          <w:szCs w:val="28"/>
        </w:rPr>
        <w:t>Chỉ số giá tiêu dùng Quý II năm 2025 trên địa bàn tỉnh Cao Bằng tăng 0,32% so với quý trước, cụ thể:</w:t>
      </w:r>
    </w:p>
    <w:p w14:paraId="3034A23E" w14:textId="236B7207" w:rsidR="00D63D03" w:rsidRPr="00AA1336" w:rsidRDefault="00D63D03" w:rsidP="00D63D03">
      <w:pPr>
        <w:pStyle w:val="FootnoteText"/>
        <w:spacing w:before="120" w:after="120"/>
        <w:ind w:firstLine="714"/>
        <w:jc w:val="both"/>
        <w:rPr>
          <w:sz w:val="28"/>
          <w:szCs w:val="28"/>
        </w:rPr>
      </w:pPr>
      <w:r w:rsidRPr="00AA1336">
        <w:rPr>
          <w:sz w:val="28"/>
          <w:szCs w:val="28"/>
        </w:rPr>
        <w:lastRenderedPageBreak/>
        <w:t xml:space="preserve">Trong 11 nhóm hàng hóa và dịch vụ tiêu dùng chính thì có 05 nhóm hàng hoá có chỉ số giá tăng so với quý trước: </w:t>
      </w:r>
      <w:r w:rsidR="00A128EB">
        <w:rPr>
          <w:sz w:val="28"/>
          <w:szCs w:val="28"/>
        </w:rPr>
        <w:t>h</w:t>
      </w:r>
      <w:r w:rsidRPr="00AA1336">
        <w:rPr>
          <w:sz w:val="28"/>
          <w:szCs w:val="28"/>
        </w:rPr>
        <w:t xml:space="preserve">àng ăn và dịch vụ ăn uống tăng 1,56%; </w:t>
      </w:r>
      <w:r w:rsidR="00A128EB">
        <w:rPr>
          <w:sz w:val="28"/>
          <w:szCs w:val="28"/>
        </w:rPr>
        <w:t>đ</w:t>
      </w:r>
      <w:r w:rsidRPr="00AA1336">
        <w:rPr>
          <w:sz w:val="28"/>
          <w:szCs w:val="28"/>
        </w:rPr>
        <w:t xml:space="preserve">ồ uống và thuốc lá tăng 0,09%; </w:t>
      </w:r>
      <w:r w:rsidR="00A128EB">
        <w:rPr>
          <w:sz w:val="28"/>
          <w:szCs w:val="28"/>
        </w:rPr>
        <w:t>t</w:t>
      </w:r>
      <w:r w:rsidRPr="00AA1336">
        <w:rPr>
          <w:sz w:val="28"/>
          <w:szCs w:val="28"/>
        </w:rPr>
        <w:t xml:space="preserve">hiết bị và đồ dùng gia đình tăng 0,31%; </w:t>
      </w:r>
      <w:r w:rsidR="00A128EB">
        <w:rPr>
          <w:sz w:val="28"/>
          <w:szCs w:val="28"/>
        </w:rPr>
        <w:t>t</w:t>
      </w:r>
      <w:r w:rsidRPr="00AA1336">
        <w:rPr>
          <w:sz w:val="28"/>
          <w:szCs w:val="28"/>
        </w:rPr>
        <w:t xml:space="preserve">huốc và dịch vụ y tế tăng 0,12%; </w:t>
      </w:r>
      <w:r w:rsidR="00A128EB">
        <w:rPr>
          <w:sz w:val="28"/>
          <w:szCs w:val="28"/>
        </w:rPr>
        <w:t>h</w:t>
      </w:r>
      <w:r w:rsidRPr="00AA1336">
        <w:rPr>
          <w:sz w:val="28"/>
          <w:szCs w:val="28"/>
        </w:rPr>
        <w:t xml:space="preserve">àng hoá và dịch vụ khác tăng 0,10%. </w:t>
      </w:r>
    </w:p>
    <w:p w14:paraId="6E40F1D9" w14:textId="022E3C7D" w:rsidR="00D63D03" w:rsidRPr="00AA1336" w:rsidRDefault="00D63D03" w:rsidP="00D63D03">
      <w:pPr>
        <w:pStyle w:val="FootnoteText"/>
        <w:spacing w:before="120" w:after="120"/>
        <w:ind w:firstLine="714"/>
        <w:jc w:val="both"/>
        <w:rPr>
          <w:sz w:val="28"/>
          <w:szCs w:val="28"/>
        </w:rPr>
      </w:pPr>
      <w:r w:rsidRPr="00AA1336">
        <w:rPr>
          <w:sz w:val="28"/>
          <w:szCs w:val="28"/>
        </w:rPr>
        <w:t xml:space="preserve">Ngược lại với các nhóm có chỉ số giá tăng thì có 04 nhóm hàng có chỉ số giá giảm so với quý trước. Cụ thể: </w:t>
      </w:r>
      <w:r w:rsidR="00A128EB">
        <w:rPr>
          <w:sz w:val="28"/>
          <w:szCs w:val="28"/>
        </w:rPr>
        <w:t>m</w:t>
      </w:r>
      <w:r w:rsidRPr="00AA1336">
        <w:rPr>
          <w:sz w:val="28"/>
          <w:szCs w:val="28"/>
        </w:rPr>
        <w:t xml:space="preserve">ay mặc, mũ nón và giày dép giảm 0,14%; </w:t>
      </w:r>
      <w:r w:rsidR="00A128EB">
        <w:rPr>
          <w:sz w:val="28"/>
          <w:szCs w:val="28"/>
        </w:rPr>
        <w:t>n</w:t>
      </w:r>
      <w:r w:rsidRPr="00AA1336">
        <w:rPr>
          <w:sz w:val="28"/>
          <w:szCs w:val="28"/>
        </w:rPr>
        <w:t xml:space="preserve">hà ở, điện, nước, chất đốt và vật liệu xây dựng giảm 0,03%; </w:t>
      </w:r>
      <w:r w:rsidR="00A128EB">
        <w:rPr>
          <w:sz w:val="28"/>
          <w:szCs w:val="28"/>
        </w:rPr>
        <w:t>g</w:t>
      </w:r>
      <w:r w:rsidRPr="00AA1336">
        <w:rPr>
          <w:sz w:val="28"/>
          <w:szCs w:val="28"/>
        </w:rPr>
        <w:t xml:space="preserve">iao thông giảm 1,84%; </w:t>
      </w:r>
      <w:r w:rsidR="00A128EB">
        <w:rPr>
          <w:sz w:val="28"/>
          <w:szCs w:val="28"/>
        </w:rPr>
        <w:t>v</w:t>
      </w:r>
      <w:r w:rsidRPr="00AA1336">
        <w:rPr>
          <w:sz w:val="28"/>
          <w:szCs w:val="28"/>
        </w:rPr>
        <w:t xml:space="preserve">ăn hoá, giải trí và du lịch giảm 0,10%. </w:t>
      </w:r>
    </w:p>
    <w:p w14:paraId="4C8AFD0E" w14:textId="56012910" w:rsidR="00D63D03" w:rsidRPr="00AA1336" w:rsidRDefault="00D63D03" w:rsidP="00D63D03">
      <w:pPr>
        <w:pStyle w:val="FootnoteText"/>
        <w:spacing w:before="120" w:after="120"/>
        <w:ind w:firstLine="714"/>
        <w:jc w:val="both"/>
        <w:rPr>
          <w:sz w:val="28"/>
          <w:szCs w:val="28"/>
        </w:rPr>
      </w:pPr>
      <w:r w:rsidRPr="00AA1336">
        <w:rPr>
          <w:sz w:val="28"/>
          <w:szCs w:val="28"/>
        </w:rPr>
        <w:t xml:space="preserve">Các nhóm </w:t>
      </w:r>
      <w:r w:rsidR="00660639">
        <w:rPr>
          <w:sz w:val="28"/>
          <w:szCs w:val="28"/>
        </w:rPr>
        <w:t>b</w:t>
      </w:r>
      <w:r w:rsidRPr="00AA1336">
        <w:rPr>
          <w:sz w:val="28"/>
          <w:szCs w:val="28"/>
        </w:rPr>
        <w:t xml:space="preserve">ưu chính viễn thông, </w:t>
      </w:r>
      <w:r w:rsidR="00660639">
        <w:rPr>
          <w:sz w:val="28"/>
          <w:szCs w:val="28"/>
        </w:rPr>
        <w:t>g</w:t>
      </w:r>
      <w:r w:rsidRPr="00AA1336">
        <w:rPr>
          <w:sz w:val="28"/>
          <w:szCs w:val="28"/>
        </w:rPr>
        <w:t>iáo dục ổn định không tăng, không giảm so với quý trước.</w:t>
      </w:r>
    </w:p>
    <w:p w14:paraId="0B1AD93B" w14:textId="3FDD5C8E" w:rsidR="00D63D03" w:rsidRPr="00AA1336" w:rsidRDefault="00C320DF" w:rsidP="00D63D03">
      <w:pPr>
        <w:spacing w:before="120" w:after="120"/>
        <w:ind w:firstLine="567"/>
        <w:jc w:val="both"/>
        <w:rPr>
          <w:sz w:val="28"/>
          <w:szCs w:val="28"/>
        </w:rPr>
      </w:pPr>
      <w:r w:rsidRPr="00AA1336">
        <w:rPr>
          <w:noProof/>
          <w:sz w:val="28"/>
          <w:szCs w:val="28"/>
        </w:rPr>
        <w:drawing>
          <wp:anchor distT="0" distB="0" distL="114300" distR="114300" simplePos="0" relativeHeight="251661824" behindDoc="1" locked="0" layoutInCell="1" allowOverlap="1" wp14:anchorId="3F712AA1" wp14:editId="3F2B7D59">
            <wp:simplePos x="0" y="0"/>
            <wp:positionH relativeFrom="column">
              <wp:posOffset>43815</wp:posOffset>
            </wp:positionH>
            <wp:positionV relativeFrom="paragraph">
              <wp:posOffset>540385</wp:posOffset>
            </wp:positionV>
            <wp:extent cx="5734050" cy="2857500"/>
            <wp:effectExtent l="0" t="0" r="0" b="0"/>
            <wp:wrapTight wrapText="bothSides">
              <wp:wrapPolygon edited="0">
                <wp:start x="0" y="0"/>
                <wp:lineTo x="0" y="21600"/>
                <wp:lineTo x="21600" y="21600"/>
                <wp:lineTo x="21600" y="0"/>
                <wp:lineTo x="0" y="0"/>
              </wp:wrapPolygon>
            </wp:wrapTight>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D63D03" w:rsidRPr="00AA1336">
        <w:rPr>
          <w:sz w:val="28"/>
          <w:szCs w:val="28"/>
        </w:rPr>
        <w:t xml:space="preserve">Trong Quý II năm 2025, chỉ số Vàng tăng 23,96% so với quý trước; chỉ số giá Đô la Mỹ tăng 1,99% so quý trước. </w:t>
      </w:r>
    </w:p>
    <w:p w14:paraId="20A8C568" w14:textId="68FD220B" w:rsidR="00913A3B" w:rsidRPr="00522008" w:rsidRDefault="00913A3B" w:rsidP="009A361F">
      <w:pPr>
        <w:pStyle w:val="BodyText21"/>
        <w:shd w:val="clear" w:color="auto" w:fill="auto"/>
        <w:spacing w:before="120" w:after="0"/>
        <w:ind w:firstLine="709"/>
        <w:jc w:val="both"/>
        <w:rPr>
          <w:b/>
          <w:lang w:val="nl-NL"/>
        </w:rPr>
      </w:pPr>
      <w:r w:rsidRPr="00522008">
        <w:rPr>
          <w:b/>
          <w:lang w:val="pt-BR"/>
        </w:rPr>
        <w:t xml:space="preserve">4. </w:t>
      </w:r>
      <w:r w:rsidRPr="00522008">
        <w:rPr>
          <w:b/>
          <w:lang w:val="nl-NL"/>
        </w:rPr>
        <w:t>Tình hình biến động giá cả 6 tháng đầu năm 2025</w:t>
      </w:r>
    </w:p>
    <w:p w14:paraId="6B83822C" w14:textId="77777777" w:rsidR="00333A38" w:rsidRPr="00522008" w:rsidRDefault="00333A38" w:rsidP="00ED1ACF">
      <w:pPr>
        <w:spacing w:before="120" w:after="120"/>
        <w:ind w:firstLine="709"/>
        <w:jc w:val="both"/>
        <w:rPr>
          <w:sz w:val="28"/>
          <w:szCs w:val="28"/>
        </w:rPr>
      </w:pPr>
      <w:r w:rsidRPr="00522008">
        <w:rPr>
          <w:sz w:val="28"/>
          <w:szCs w:val="28"/>
        </w:rPr>
        <w:t>Chỉ số giá tiêu dùng 6 tháng đầu năm 2025 trên địa bàn tỉnh Cao Bằng tăng 2,19% so với cùng kỳ năm 2024, cụ thể:</w:t>
      </w:r>
    </w:p>
    <w:p w14:paraId="2F25BBC9" w14:textId="4D973C13" w:rsidR="00333A38" w:rsidRPr="00522008" w:rsidRDefault="00333A38" w:rsidP="00333A38">
      <w:pPr>
        <w:pStyle w:val="FootnoteText"/>
        <w:spacing w:before="120" w:after="120"/>
        <w:ind w:firstLine="714"/>
        <w:jc w:val="both"/>
        <w:rPr>
          <w:sz w:val="28"/>
          <w:szCs w:val="28"/>
        </w:rPr>
      </w:pPr>
      <w:r w:rsidRPr="00522008">
        <w:rPr>
          <w:sz w:val="28"/>
          <w:szCs w:val="28"/>
        </w:rPr>
        <w:t xml:space="preserve">Trong 11 nhóm hàng hóa và dịch vụ tiêu dùng chính thì có 07 nhóm hàng hoá có chỉ số giá tăng so với cùng kỳ: </w:t>
      </w:r>
      <w:r w:rsidR="00660639">
        <w:rPr>
          <w:sz w:val="28"/>
          <w:szCs w:val="28"/>
        </w:rPr>
        <w:t>h</w:t>
      </w:r>
      <w:r w:rsidRPr="00522008">
        <w:rPr>
          <w:sz w:val="28"/>
          <w:szCs w:val="28"/>
        </w:rPr>
        <w:t xml:space="preserve">àng ăn và dịch vụ ăn uống tăng 2,19%; Đồ uống và thuốc lá tăng 1,59%; </w:t>
      </w:r>
      <w:r w:rsidR="00660639">
        <w:rPr>
          <w:sz w:val="28"/>
          <w:szCs w:val="28"/>
        </w:rPr>
        <w:t>m</w:t>
      </w:r>
      <w:r w:rsidRPr="00522008">
        <w:rPr>
          <w:sz w:val="28"/>
          <w:szCs w:val="28"/>
        </w:rPr>
        <w:t xml:space="preserve">ay mặc, mũ nón và giày dép tăng 0,68%; </w:t>
      </w:r>
      <w:r w:rsidR="00660639">
        <w:rPr>
          <w:sz w:val="28"/>
          <w:szCs w:val="28"/>
        </w:rPr>
        <w:t>n</w:t>
      </w:r>
      <w:r w:rsidRPr="00522008">
        <w:rPr>
          <w:sz w:val="28"/>
          <w:szCs w:val="28"/>
        </w:rPr>
        <w:t xml:space="preserve">hà ở, điện, nước, chất đốt và vật liệu xây dựng tăng 1,32%; </w:t>
      </w:r>
      <w:r w:rsidR="00660639">
        <w:rPr>
          <w:sz w:val="28"/>
          <w:szCs w:val="28"/>
        </w:rPr>
        <w:t>t</w:t>
      </w:r>
      <w:r w:rsidRPr="00522008">
        <w:rPr>
          <w:sz w:val="28"/>
          <w:szCs w:val="28"/>
        </w:rPr>
        <w:t xml:space="preserve">hiết bị và đồ dùng gia đình tăng 0,50%; </w:t>
      </w:r>
      <w:r w:rsidR="00660639">
        <w:rPr>
          <w:sz w:val="28"/>
          <w:szCs w:val="28"/>
        </w:rPr>
        <w:t>t</w:t>
      </w:r>
      <w:r w:rsidRPr="00522008">
        <w:rPr>
          <w:sz w:val="28"/>
          <w:szCs w:val="28"/>
        </w:rPr>
        <w:t xml:space="preserve">huốc và dịch vụ y tế tăng 15,52%; </w:t>
      </w:r>
      <w:r w:rsidR="00660639">
        <w:rPr>
          <w:sz w:val="28"/>
          <w:szCs w:val="28"/>
        </w:rPr>
        <w:t>h</w:t>
      </w:r>
      <w:r w:rsidRPr="00522008">
        <w:rPr>
          <w:sz w:val="28"/>
          <w:szCs w:val="28"/>
        </w:rPr>
        <w:t xml:space="preserve">àng hoá và dịch vụ khác tăng 3,27%. Nhóm </w:t>
      </w:r>
      <w:r w:rsidR="00660639">
        <w:rPr>
          <w:sz w:val="28"/>
          <w:szCs w:val="28"/>
        </w:rPr>
        <w:t>t</w:t>
      </w:r>
      <w:r w:rsidRPr="00522008">
        <w:rPr>
          <w:sz w:val="28"/>
          <w:szCs w:val="28"/>
        </w:rPr>
        <w:t>huốc và dịch vụ y tế tăng cao do giá dịch vụ y tế tăng theo Nghị quyết 120/2024/NQ-HĐND ngày 11/12/2024 của Hội đồng nhân dân tỉnh Cao Bằng áp dụng từ 01/01/2025.</w:t>
      </w:r>
    </w:p>
    <w:p w14:paraId="55A1D3C7" w14:textId="3DAE9DDA" w:rsidR="00333A38" w:rsidRPr="00522008" w:rsidRDefault="00333A38" w:rsidP="00333A38">
      <w:pPr>
        <w:pStyle w:val="FootnoteText"/>
        <w:spacing w:before="120" w:after="120"/>
        <w:ind w:firstLine="714"/>
        <w:jc w:val="both"/>
        <w:rPr>
          <w:b/>
          <w:sz w:val="28"/>
          <w:szCs w:val="28"/>
          <w:lang w:val="nl-NL"/>
        </w:rPr>
      </w:pPr>
      <w:r w:rsidRPr="00522008">
        <w:rPr>
          <w:sz w:val="28"/>
          <w:szCs w:val="28"/>
        </w:rPr>
        <w:t xml:space="preserve">Ngược lại với các nhóm có chỉ số giá tăng thì có 04 nhóm hàng có chỉ số giá giảm so với cùng kỳ: </w:t>
      </w:r>
      <w:r w:rsidR="00660639">
        <w:rPr>
          <w:sz w:val="28"/>
          <w:szCs w:val="28"/>
        </w:rPr>
        <w:t>g</w:t>
      </w:r>
      <w:r w:rsidRPr="00522008">
        <w:rPr>
          <w:sz w:val="28"/>
          <w:szCs w:val="28"/>
        </w:rPr>
        <w:t xml:space="preserve">iao thông giảm 6,03%; </w:t>
      </w:r>
      <w:r w:rsidR="00660639">
        <w:rPr>
          <w:sz w:val="28"/>
          <w:szCs w:val="28"/>
        </w:rPr>
        <w:t>b</w:t>
      </w:r>
      <w:r w:rsidRPr="00522008">
        <w:rPr>
          <w:sz w:val="28"/>
          <w:szCs w:val="28"/>
        </w:rPr>
        <w:t>ưu chính viễn thông giảm 0,16%;</w:t>
      </w:r>
      <w:r w:rsidR="00660639">
        <w:rPr>
          <w:sz w:val="28"/>
          <w:szCs w:val="28"/>
        </w:rPr>
        <w:t xml:space="preserve"> g</w:t>
      </w:r>
      <w:r w:rsidRPr="00522008">
        <w:rPr>
          <w:sz w:val="28"/>
          <w:szCs w:val="28"/>
        </w:rPr>
        <w:t xml:space="preserve">iáo dục giảm 17,16%; </w:t>
      </w:r>
      <w:r w:rsidR="00660639">
        <w:rPr>
          <w:sz w:val="28"/>
          <w:szCs w:val="28"/>
        </w:rPr>
        <w:t>v</w:t>
      </w:r>
      <w:r w:rsidRPr="00522008">
        <w:rPr>
          <w:sz w:val="28"/>
          <w:szCs w:val="28"/>
        </w:rPr>
        <w:t xml:space="preserve">ăn hoá, giải trí và du lịch giảm 0,17%. Nhóm </w:t>
      </w:r>
      <w:r w:rsidRPr="00522008">
        <w:rPr>
          <w:sz w:val="28"/>
          <w:szCs w:val="28"/>
        </w:rPr>
        <w:lastRenderedPageBreak/>
        <w:t xml:space="preserve">giáo dục </w:t>
      </w:r>
      <w:r w:rsidR="00660639">
        <w:rPr>
          <w:sz w:val="28"/>
          <w:szCs w:val="28"/>
        </w:rPr>
        <w:t>g</w:t>
      </w:r>
      <w:r w:rsidRPr="00522008">
        <w:rPr>
          <w:sz w:val="28"/>
          <w:szCs w:val="28"/>
        </w:rPr>
        <w:t>iảm do năm học 2024-2025 vẫn áp dụng mức thu theo Nghị quyết số 06/2024/NQ-HĐND ngày 08/4/2024 của Hội đồng nhân dân tỉnh Cao Bằng</w:t>
      </w:r>
      <w:r w:rsidRPr="00522008">
        <w:rPr>
          <w:bCs/>
          <w:sz w:val="28"/>
          <w:szCs w:val="28"/>
          <w:lang w:val="nl-NL"/>
        </w:rPr>
        <w:t>.</w:t>
      </w:r>
    </w:p>
    <w:p w14:paraId="3C465741" w14:textId="17E56E86" w:rsidR="00333A38" w:rsidRDefault="0042505C" w:rsidP="00ED1ACF">
      <w:pPr>
        <w:spacing w:before="120" w:after="120"/>
        <w:ind w:firstLine="709"/>
        <w:jc w:val="both"/>
      </w:pPr>
      <w:r w:rsidRPr="00522008">
        <w:rPr>
          <w:noProof/>
          <w:sz w:val="28"/>
          <w:szCs w:val="28"/>
        </w:rPr>
        <w:drawing>
          <wp:anchor distT="0" distB="0" distL="114300" distR="114300" simplePos="0" relativeHeight="251662848" behindDoc="1" locked="0" layoutInCell="1" allowOverlap="1" wp14:anchorId="251F7351" wp14:editId="57CDD947">
            <wp:simplePos x="0" y="0"/>
            <wp:positionH relativeFrom="column">
              <wp:posOffset>-22860</wp:posOffset>
            </wp:positionH>
            <wp:positionV relativeFrom="paragraph">
              <wp:posOffset>642620</wp:posOffset>
            </wp:positionV>
            <wp:extent cx="6200775" cy="3200400"/>
            <wp:effectExtent l="0" t="0" r="0" b="0"/>
            <wp:wrapTight wrapText="bothSides">
              <wp:wrapPolygon edited="0">
                <wp:start x="0" y="0"/>
                <wp:lineTo x="0" y="21600"/>
                <wp:lineTo x="21567" y="21600"/>
                <wp:lineTo x="21567" y="0"/>
                <wp:lineTo x="0" y="0"/>
              </wp:wrapPolygon>
            </wp:wrapTight>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333A38" w:rsidRPr="00522008">
        <w:rPr>
          <w:sz w:val="28"/>
          <w:szCs w:val="28"/>
        </w:rPr>
        <w:t xml:space="preserve">Trong 6 tháng đầu năm 2025, chỉ số Vàng tăng 42,58% so với cùng kỳ; chỉ số giá Đô la Mỹ tăng 3,39% so với cùng kỳ. </w:t>
      </w:r>
    </w:p>
    <w:p w14:paraId="1B37E055" w14:textId="6663CD21" w:rsidR="005F48F4" w:rsidRPr="00014EC4" w:rsidRDefault="00014EC4" w:rsidP="000C3C2C">
      <w:pPr>
        <w:pStyle w:val="BodyText21"/>
        <w:shd w:val="clear" w:color="auto" w:fill="auto"/>
        <w:spacing w:before="120" w:after="0"/>
        <w:ind w:firstLine="709"/>
        <w:jc w:val="both"/>
        <w:rPr>
          <w:b/>
          <w:lang w:val="nl-NL"/>
        </w:rPr>
      </w:pPr>
      <w:r>
        <w:rPr>
          <w:b/>
          <w:lang w:val="pt-BR"/>
        </w:rPr>
        <w:t xml:space="preserve">5. </w:t>
      </w:r>
      <w:r w:rsidR="00841633" w:rsidRPr="00014EC4">
        <w:rPr>
          <w:b/>
          <w:lang w:val="pt-BR"/>
        </w:rPr>
        <w:t>Thốn</w:t>
      </w:r>
      <w:r w:rsidR="00B530C6" w:rsidRPr="00014EC4">
        <w:rPr>
          <w:b/>
          <w:lang w:val="pt-BR"/>
        </w:rPr>
        <w:t>g kê mức giá hàng hóa, dịch vụ</w:t>
      </w:r>
      <w:r w:rsidR="004D2017" w:rsidRPr="00014EC4">
        <w:rPr>
          <w:b/>
          <w:lang w:val="pt-BR"/>
        </w:rPr>
        <w:t xml:space="preserve"> </w:t>
      </w:r>
      <w:r w:rsidR="00A63B1B" w:rsidRPr="00014EC4">
        <w:rPr>
          <w:b/>
          <w:lang w:val="pt-BR"/>
        </w:rPr>
        <w:t>tháng 6</w:t>
      </w:r>
      <w:r w:rsidR="004D2017" w:rsidRPr="00014EC4">
        <w:rPr>
          <w:b/>
          <w:lang w:val="pt-BR"/>
        </w:rPr>
        <w:t xml:space="preserve"> năm 2025</w:t>
      </w:r>
    </w:p>
    <w:p w14:paraId="49A5DDEB" w14:textId="77777777" w:rsidR="00841633" w:rsidRPr="00014EC4" w:rsidRDefault="00284DE7" w:rsidP="000C3C2C">
      <w:pPr>
        <w:spacing w:before="120"/>
        <w:ind w:firstLine="720"/>
        <w:jc w:val="center"/>
        <w:rPr>
          <w:b/>
          <w:sz w:val="28"/>
          <w:szCs w:val="28"/>
          <w:lang w:val="pt-BR"/>
        </w:rPr>
      </w:pPr>
      <w:r w:rsidRPr="00014EC4">
        <w:rPr>
          <w:i/>
          <w:sz w:val="28"/>
          <w:szCs w:val="28"/>
          <w:lang w:val="pt-BR"/>
        </w:rPr>
        <w:t>(Chi tiết tại</w:t>
      </w:r>
      <w:r w:rsidR="00841633" w:rsidRPr="00014EC4">
        <w:rPr>
          <w:i/>
          <w:sz w:val="28"/>
          <w:szCs w:val="28"/>
          <w:lang w:val="pt-BR"/>
        </w:rPr>
        <w:t xml:space="preserve"> </w:t>
      </w:r>
      <w:r w:rsidR="005A2DF3" w:rsidRPr="00014EC4">
        <w:rPr>
          <w:i/>
          <w:sz w:val="28"/>
          <w:szCs w:val="28"/>
          <w:lang w:val="pt-BR"/>
        </w:rPr>
        <w:t>P</w:t>
      </w:r>
      <w:r w:rsidR="00841633" w:rsidRPr="00014EC4">
        <w:rPr>
          <w:i/>
          <w:sz w:val="28"/>
          <w:szCs w:val="28"/>
          <w:lang w:val="pt-BR"/>
        </w:rPr>
        <w:t>hụ lục kèm theo</w:t>
      </w:r>
      <w:r w:rsidRPr="00014EC4">
        <w:rPr>
          <w:i/>
          <w:sz w:val="28"/>
          <w:szCs w:val="28"/>
          <w:lang w:val="pt-BR"/>
        </w:rPr>
        <w:t>)</w:t>
      </w:r>
    </w:p>
    <w:p w14:paraId="67D09909" w14:textId="77777777" w:rsidR="008E25F5" w:rsidRPr="00014EC4" w:rsidRDefault="002828BE" w:rsidP="00ED1ACF">
      <w:pPr>
        <w:spacing w:before="120"/>
        <w:ind w:firstLine="720"/>
        <w:jc w:val="both"/>
        <w:rPr>
          <w:sz w:val="28"/>
          <w:szCs w:val="28"/>
        </w:rPr>
      </w:pPr>
      <w:r w:rsidRPr="00014EC4">
        <w:rPr>
          <w:b/>
          <w:sz w:val="28"/>
          <w:szCs w:val="28"/>
          <w:lang w:val="pt-BR"/>
        </w:rPr>
        <w:t xml:space="preserve">II. DIỄN BIẾN GIÁ THỊ TRƯỜNG CỦA MỘT SỐ HÀNG HÓA, DỊCH VỤ </w:t>
      </w:r>
      <w:r w:rsidR="00DE35A2" w:rsidRPr="00014EC4">
        <w:rPr>
          <w:b/>
          <w:sz w:val="28"/>
          <w:szCs w:val="28"/>
          <w:lang w:val="pt-BR"/>
        </w:rPr>
        <w:t>THIẾT YẾU</w:t>
      </w:r>
      <w:r w:rsidR="00E34852" w:rsidRPr="00014EC4">
        <w:rPr>
          <w:b/>
          <w:sz w:val="28"/>
          <w:szCs w:val="28"/>
          <w:lang w:val="pt-BR"/>
        </w:rPr>
        <w:t xml:space="preserve"> </w:t>
      </w:r>
      <w:r w:rsidR="00A63B1B" w:rsidRPr="00014EC4">
        <w:rPr>
          <w:b/>
          <w:sz w:val="28"/>
          <w:szCs w:val="28"/>
          <w:lang w:val="pt-BR"/>
        </w:rPr>
        <w:t>THÁNG 6</w:t>
      </w:r>
      <w:r w:rsidR="0032085C" w:rsidRPr="00014EC4">
        <w:rPr>
          <w:b/>
          <w:sz w:val="28"/>
          <w:szCs w:val="28"/>
          <w:lang w:val="pt-BR"/>
        </w:rPr>
        <w:t xml:space="preserve"> NĂM </w:t>
      </w:r>
      <w:r w:rsidR="00244398" w:rsidRPr="00014EC4">
        <w:rPr>
          <w:b/>
          <w:sz w:val="28"/>
          <w:szCs w:val="28"/>
          <w:lang w:val="pt-BR"/>
        </w:rPr>
        <w:t>2025</w:t>
      </w:r>
      <w:r w:rsidR="00D11A89" w:rsidRPr="00014EC4">
        <w:rPr>
          <w:sz w:val="28"/>
          <w:szCs w:val="28"/>
        </w:rPr>
        <w:t xml:space="preserve"> </w:t>
      </w:r>
    </w:p>
    <w:p w14:paraId="7F338CCE" w14:textId="488BD718" w:rsidR="00D11A89" w:rsidRPr="00014EC4" w:rsidRDefault="00D11A89" w:rsidP="00ED1ACF">
      <w:pPr>
        <w:spacing w:before="120"/>
        <w:ind w:firstLine="720"/>
        <w:jc w:val="both"/>
        <w:rPr>
          <w:sz w:val="28"/>
          <w:szCs w:val="28"/>
        </w:rPr>
      </w:pPr>
      <w:r w:rsidRPr="00014EC4">
        <w:rPr>
          <w:sz w:val="28"/>
          <w:szCs w:val="28"/>
        </w:rPr>
        <w:t>Diễn biến tăng, giảm của các nhóm hàng hóa và dịch vụ tiêu dùng chính trong tháng 6 năm 2025 cụ thể như sau:</w:t>
      </w:r>
    </w:p>
    <w:p w14:paraId="77ADBB56" w14:textId="77777777" w:rsidR="00D11A89" w:rsidRPr="00014EC4" w:rsidRDefault="00D11A89" w:rsidP="00ED1ACF">
      <w:pPr>
        <w:spacing w:before="120" w:after="120"/>
        <w:ind w:firstLine="709"/>
        <w:jc w:val="both"/>
        <w:rPr>
          <w:b/>
          <w:sz w:val="28"/>
          <w:szCs w:val="28"/>
        </w:rPr>
      </w:pPr>
      <w:r w:rsidRPr="00014EC4">
        <w:rPr>
          <w:b/>
          <w:sz w:val="28"/>
          <w:szCs w:val="28"/>
        </w:rPr>
        <w:t>1. Hàng ăn và dịch vụ ăn uống</w:t>
      </w:r>
    </w:p>
    <w:p w14:paraId="5EF8BFDC" w14:textId="7E7751BF" w:rsidR="00D11A89" w:rsidRPr="00014EC4" w:rsidRDefault="00D11A89" w:rsidP="00ED1ACF">
      <w:pPr>
        <w:spacing w:before="120" w:after="120"/>
        <w:ind w:firstLine="709"/>
        <w:jc w:val="both"/>
        <w:rPr>
          <w:sz w:val="28"/>
          <w:szCs w:val="28"/>
        </w:rPr>
      </w:pPr>
      <w:r w:rsidRPr="00014EC4">
        <w:rPr>
          <w:sz w:val="28"/>
          <w:szCs w:val="28"/>
        </w:rPr>
        <w:t xml:space="preserve">Chỉ số giá nhóm </w:t>
      </w:r>
      <w:r w:rsidR="00D35B44">
        <w:rPr>
          <w:sz w:val="28"/>
          <w:szCs w:val="28"/>
        </w:rPr>
        <w:t>h</w:t>
      </w:r>
      <w:r w:rsidRPr="00014EC4">
        <w:rPr>
          <w:sz w:val="28"/>
          <w:szCs w:val="28"/>
        </w:rPr>
        <w:t xml:space="preserve">àng ăn và dịch vụ ăn uống trong tháng 6 giảm 0,39% so với tháng trước, tác động giảm chủ yếu do nhóm: </w:t>
      </w:r>
      <w:r w:rsidR="00F0257F">
        <w:rPr>
          <w:sz w:val="28"/>
          <w:szCs w:val="28"/>
        </w:rPr>
        <w:t>t</w:t>
      </w:r>
      <w:r w:rsidRPr="00014EC4">
        <w:rPr>
          <w:sz w:val="28"/>
          <w:szCs w:val="28"/>
        </w:rPr>
        <w:t>hực phẩm giảm 1,44% so với tháng trước.</w:t>
      </w:r>
    </w:p>
    <w:p w14:paraId="07E5513D" w14:textId="4CDC87A5" w:rsidR="00D11A89" w:rsidRPr="00014EC4" w:rsidRDefault="00D11A89" w:rsidP="00ED1ACF">
      <w:pPr>
        <w:spacing w:before="120" w:after="120"/>
        <w:ind w:firstLine="709"/>
        <w:jc w:val="both"/>
        <w:rPr>
          <w:sz w:val="28"/>
          <w:szCs w:val="28"/>
        </w:rPr>
      </w:pPr>
      <w:r w:rsidRPr="00014EC4">
        <w:rPr>
          <w:sz w:val="28"/>
          <w:szCs w:val="28"/>
        </w:rPr>
        <w:t xml:space="preserve">Nhóm </w:t>
      </w:r>
      <w:r w:rsidR="00F0257F">
        <w:rPr>
          <w:sz w:val="28"/>
          <w:szCs w:val="28"/>
        </w:rPr>
        <w:t>t</w:t>
      </w:r>
      <w:r w:rsidRPr="00014EC4">
        <w:rPr>
          <w:sz w:val="28"/>
          <w:szCs w:val="28"/>
        </w:rPr>
        <w:t xml:space="preserve">hực phẩm có chỉ số giá giảm 1,44% so với tháng trước, do ảnh hưởng của các nhóm hàng hoá sau: </w:t>
      </w:r>
      <w:r w:rsidR="00F0257F">
        <w:rPr>
          <w:sz w:val="28"/>
          <w:szCs w:val="28"/>
        </w:rPr>
        <w:t>t</w:t>
      </w:r>
      <w:r w:rsidRPr="00014EC4">
        <w:rPr>
          <w:sz w:val="28"/>
          <w:szCs w:val="28"/>
        </w:rPr>
        <w:t xml:space="preserve">hịt gia súc giảm 3,08%; </w:t>
      </w:r>
      <w:r w:rsidR="00F0257F">
        <w:rPr>
          <w:sz w:val="28"/>
          <w:szCs w:val="28"/>
        </w:rPr>
        <w:t>t</w:t>
      </w:r>
      <w:r w:rsidRPr="00014EC4">
        <w:rPr>
          <w:sz w:val="28"/>
          <w:szCs w:val="28"/>
        </w:rPr>
        <w:t xml:space="preserve">hịt chế biến giảm 0,53%; </w:t>
      </w:r>
      <w:r w:rsidR="00F0257F">
        <w:rPr>
          <w:sz w:val="28"/>
          <w:szCs w:val="28"/>
        </w:rPr>
        <w:t>t</w:t>
      </w:r>
      <w:r w:rsidRPr="00014EC4">
        <w:rPr>
          <w:sz w:val="28"/>
          <w:szCs w:val="28"/>
        </w:rPr>
        <w:t xml:space="preserve">rứng các loại giảm 0,73%; </w:t>
      </w:r>
      <w:r w:rsidR="00F0257F">
        <w:rPr>
          <w:sz w:val="28"/>
          <w:szCs w:val="28"/>
        </w:rPr>
        <w:t>d</w:t>
      </w:r>
      <w:r w:rsidRPr="00014EC4">
        <w:rPr>
          <w:sz w:val="28"/>
          <w:szCs w:val="28"/>
        </w:rPr>
        <w:t xml:space="preserve">ầu mỡ ăn và chất béo khác giảm 0,84%; </w:t>
      </w:r>
      <w:r w:rsidR="00F0257F">
        <w:rPr>
          <w:sz w:val="28"/>
          <w:szCs w:val="28"/>
        </w:rPr>
        <w:t>r</w:t>
      </w:r>
      <w:r w:rsidRPr="00014EC4">
        <w:rPr>
          <w:sz w:val="28"/>
          <w:szCs w:val="28"/>
        </w:rPr>
        <w:t xml:space="preserve">au tươi, khô và chế biến giảm 1,66%; </w:t>
      </w:r>
      <w:r w:rsidR="00F0257F">
        <w:rPr>
          <w:sz w:val="28"/>
          <w:szCs w:val="28"/>
        </w:rPr>
        <w:t>q</w:t>
      </w:r>
      <w:r w:rsidRPr="00014EC4">
        <w:rPr>
          <w:sz w:val="28"/>
          <w:szCs w:val="28"/>
        </w:rPr>
        <w:t xml:space="preserve">uả tươi, chế biến giảm 1,24%. Cụ thể một số mặt hàng giảm giá như: </w:t>
      </w:r>
      <w:r w:rsidR="00F0257F">
        <w:rPr>
          <w:sz w:val="28"/>
          <w:szCs w:val="28"/>
        </w:rPr>
        <w:t>t</w:t>
      </w:r>
      <w:r w:rsidRPr="00014EC4">
        <w:rPr>
          <w:sz w:val="28"/>
          <w:szCs w:val="28"/>
        </w:rPr>
        <w:t xml:space="preserve">hịt lợn giảm 3,25%, </w:t>
      </w:r>
      <w:r w:rsidR="00F0257F">
        <w:rPr>
          <w:sz w:val="28"/>
          <w:szCs w:val="28"/>
        </w:rPr>
        <w:t>n</w:t>
      </w:r>
      <w:r w:rsidRPr="00014EC4">
        <w:rPr>
          <w:sz w:val="28"/>
          <w:szCs w:val="28"/>
        </w:rPr>
        <w:t xml:space="preserve">ội tạng động vật giảm 2,97%; </w:t>
      </w:r>
      <w:r w:rsidR="00F0257F">
        <w:rPr>
          <w:sz w:val="28"/>
          <w:szCs w:val="28"/>
        </w:rPr>
        <w:t>t</w:t>
      </w:r>
      <w:r w:rsidRPr="00014EC4">
        <w:rPr>
          <w:sz w:val="28"/>
          <w:szCs w:val="28"/>
        </w:rPr>
        <w:t xml:space="preserve">hịt quay, giò, chả giảm 0,58%; </w:t>
      </w:r>
      <w:r w:rsidR="0095248E">
        <w:rPr>
          <w:sz w:val="28"/>
          <w:szCs w:val="28"/>
        </w:rPr>
        <w:t>m</w:t>
      </w:r>
      <w:r w:rsidRPr="00014EC4">
        <w:rPr>
          <w:sz w:val="28"/>
          <w:szCs w:val="28"/>
        </w:rPr>
        <w:t xml:space="preserve">ỡ động vật giảm 1,00%; </w:t>
      </w:r>
      <w:r w:rsidR="0095248E">
        <w:rPr>
          <w:sz w:val="28"/>
          <w:szCs w:val="28"/>
        </w:rPr>
        <w:t>s</w:t>
      </w:r>
      <w:r w:rsidRPr="00014EC4">
        <w:rPr>
          <w:sz w:val="28"/>
          <w:szCs w:val="28"/>
        </w:rPr>
        <w:t xml:space="preserve">u hào giảm 0,15%; </w:t>
      </w:r>
      <w:r w:rsidR="00F0257F">
        <w:rPr>
          <w:sz w:val="28"/>
          <w:szCs w:val="28"/>
        </w:rPr>
        <w:t>c</w:t>
      </w:r>
      <w:r w:rsidRPr="00014EC4">
        <w:rPr>
          <w:sz w:val="28"/>
          <w:szCs w:val="28"/>
        </w:rPr>
        <w:t xml:space="preserve">à chua giảm 6,08%; </w:t>
      </w:r>
      <w:r w:rsidR="00F0257F">
        <w:rPr>
          <w:sz w:val="28"/>
          <w:szCs w:val="28"/>
        </w:rPr>
        <w:t>k</w:t>
      </w:r>
      <w:r w:rsidRPr="00014EC4">
        <w:rPr>
          <w:sz w:val="28"/>
          <w:szCs w:val="28"/>
        </w:rPr>
        <w:t xml:space="preserve">hoai tây giảm 0,46%; </w:t>
      </w:r>
      <w:r w:rsidR="00F0257F">
        <w:rPr>
          <w:sz w:val="28"/>
          <w:szCs w:val="28"/>
        </w:rPr>
        <w:t>r</w:t>
      </w:r>
      <w:r w:rsidRPr="00014EC4">
        <w:rPr>
          <w:sz w:val="28"/>
          <w:szCs w:val="28"/>
        </w:rPr>
        <w:t xml:space="preserve">au muống giảm 6,69%; </w:t>
      </w:r>
      <w:r w:rsidR="00F0257F">
        <w:rPr>
          <w:sz w:val="28"/>
          <w:szCs w:val="28"/>
        </w:rPr>
        <w:t>đ</w:t>
      </w:r>
      <w:r w:rsidRPr="00014EC4">
        <w:rPr>
          <w:sz w:val="28"/>
          <w:szCs w:val="28"/>
        </w:rPr>
        <w:t xml:space="preserve">ỗ quả tươi giảm 2,01%; </w:t>
      </w:r>
      <w:r w:rsidR="00F0257F">
        <w:rPr>
          <w:sz w:val="28"/>
          <w:szCs w:val="28"/>
        </w:rPr>
        <w:t>r</w:t>
      </w:r>
      <w:r w:rsidRPr="00014EC4">
        <w:rPr>
          <w:sz w:val="28"/>
          <w:szCs w:val="28"/>
        </w:rPr>
        <w:t xml:space="preserve">au dạng quả, củ giảm 4,07%; </w:t>
      </w:r>
      <w:r w:rsidR="00F0257F">
        <w:rPr>
          <w:sz w:val="28"/>
          <w:szCs w:val="28"/>
        </w:rPr>
        <w:t>r</w:t>
      </w:r>
      <w:r w:rsidRPr="00014EC4">
        <w:rPr>
          <w:sz w:val="28"/>
          <w:szCs w:val="28"/>
        </w:rPr>
        <w:t>au tươi khác giảm 0,51%. Nhóm thực phẩm giảm do giá lợn hơi trong tháng giảm nên các sản phẩm thịt gia súc giảm. Ngoài ra, đang vào mùa của nhiều loại rau, củ nên lượng cung phong phú kéo theo giá cả rau, củ giảm làm cho chỉ số giá chung nhóm này giảm.</w:t>
      </w:r>
    </w:p>
    <w:p w14:paraId="036A3D5F" w14:textId="72ACA7E5" w:rsidR="00D11A89" w:rsidRPr="00014EC4" w:rsidRDefault="00D11A89" w:rsidP="00ED1ACF">
      <w:pPr>
        <w:spacing w:before="120" w:after="120"/>
        <w:ind w:firstLine="709"/>
        <w:jc w:val="both"/>
        <w:rPr>
          <w:sz w:val="28"/>
          <w:szCs w:val="28"/>
        </w:rPr>
      </w:pPr>
      <w:r w:rsidRPr="00014EC4">
        <w:rPr>
          <w:sz w:val="28"/>
          <w:szCs w:val="28"/>
        </w:rPr>
        <w:lastRenderedPageBreak/>
        <w:t xml:space="preserve">Ngược chiều với chỉ số giá giảm trong nhóm </w:t>
      </w:r>
      <w:r w:rsidR="00F0257F">
        <w:rPr>
          <w:sz w:val="28"/>
          <w:szCs w:val="28"/>
        </w:rPr>
        <w:t>h</w:t>
      </w:r>
      <w:r w:rsidRPr="00014EC4">
        <w:rPr>
          <w:sz w:val="28"/>
          <w:szCs w:val="28"/>
        </w:rPr>
        <w:t xml:space="preserve">àng ăn và dịch vụ ăn uống thì chỉ số giá nhóm </w:t>
      </w:r>
      <w:r w:rsidR="00F0257F">
        <w:rPr>
          <w:sz w:val="28"/>
          <w:szCs w:val="28"/>
        </w:rPr>
        <w:t>l</w:t>
      </w:r>
      <w:r w:rsidRPr="00014EC4">
        <w:rPr>
          <w:sz w:val="28"/>
          <w:szCs w:val="28"/>
        </w:rPr>
        <w:t xml:space="preserve">ương thực và </w:t>
      </w:r>
      <w:r w:rsidR="00F0257F">
        <w:rPr>
          <w:sz w:val="28"/>
          <w:szCs w:val="28"/>
        </w:rPr>
        <w:t>ă</w:t>
      </w:r>
      <w:r w:rsidRPr="00014EC4">
        <w:rPr>
          <w:sz w:val="28"/>
          <w:szCs w:val="28"/>
        </w:rPr>
        <w:t xml:space="preserve">n uống ngoài gia đình có chỉ số giá tăng. Cụ thể: </w:t>
      </w:r>
      <w:r w:rsidR="00F0257F">
        <w:rPr>
          <w:sz w:val="28"/>
          <w:szCs w:val="28"/>
        </w:rPr>
        <w:t>n</w:t>
      </w:r>
      <w:r w:rsidRPr="00014EC4">
        <w:rPr>
          <w:sz w:val="28"/>
          <w:szCs w:val="28"/>
        </w:rPr>
        <w:t xml:space="preserve">hóm </w:t>
      </w:r>
      <w:r w:rsidR="00F0257F">
        <w:rPr>
          <w:sz w:val="28"/>
          <w:szCs w:val="28"/>
        </w:rPr>
        <w:t>l</w:t>
      </w:r>
      <w:r w:rsidRPr="00014EC4">
        <w:rPr>
          <w:sz w:val="28"/>
          <w:szCs w:val="28"/>
        </w:rPr>
        <w:t xml:space="preserve">ương thực tăng 1,17%; </w:t>
      </w:r>
      <w:r w:rsidR="0095248E">
        <w:rPr>
          <w:sz w:val="28"/>
          <w:szCs w:val="28"/>
        </w:rPr>
        <w:t>ă</w:t>
      </w:r>
      <w:r w:rsidRPr="00014EC4">
        <w:rPr>
          <w:sz w:val="28"/>
          <w:szCs w:val="28"/>
        </w:rPr>
        <w:t xml:space="preserve">n uống ngoài gia đình tăng 1,18%. Các nhóm sản phẩm tăng chủ yếu như: </w:t>
      </w:r>
      <w:r w:rsidR="00F0257F">
        <w:rPr>
          <w:sz w:val="28"/>
          <w:szCs w:val="28"/>
        </w:rPr>
        <w:t>g</w:t>
      </w:r>
      <w:r w:rsidRPr="00014EC4">
        <w:rPr>
          <w:sz w:val="28"/>
          <w:szCs w:val="28"/>
        </w:rPr>
        <w:t xml:space="preserve">ạo tăng 1,99%; </w:t>
      </w:r>
      <w:r w:rsidR="00F0257F">
        <w:rPr>
          <w:sz w:val="28"/>
          <w:szCs w:val="28"/>
        </w:rPr>
        <w:t>l</w:t>
      </w:r>
      <w:r w:rsidRPr="00014EC4">
        <w:rPr>
          <w:sz w:val="28"/>
          <w:szCs w:val="28"/>
        </w:rPr>
        <w:t xml:space="preserve">ương thực chế biến tăng 0,29%. Cụ thể một số mặt hàng tăng như: </w:t>
      </w:r>
      <w:r w:rsidR="00F0257F">
        <w:rPr>
          <w:sz w:val="28"/>
          <w:szCs w:val="28"/>
        </w:rPr>
        <w:t>g</w:t>
      </w:r>
      <w:r w:rsidR="0095248E">
        <w:rPr>
          <w:sz w:val="28"/>
          <w:szCs w:val="28"/>
        </w:rPr>
        <w:t>ạo tẻ thường tăng 1,68%, gạo tẻ ngon tăng 0,59%</w:t>
      </w:r>
      <w:r w:rsidRPr="00014EC4">
        <w:rPr>
          <w:sz w:val="28"/>
          <w:szCs w:val="28"/>
        </w:rPr>
        <w:t xml:space="preserve">; </w:t>
      </w:r>
      <w:r w:rsidR="00F0257F">
        <w:rPr>
          <w:sz w:val="28"/>
          <w:szCs w:val="28"/>
        </w:rPr>
        <w:t>g</w:t>
      </w:r>
      <w:r w:rsidR="0095248E">
        <w:rPr>
          <w:sz w:val="28"/>
          <w:szCs w:val="28"/>
        </w:rPr>
        <w:t>ạo nếp tăng 4,01%</w:t>
      </w:r>
      <w:r w:rsidRPr="00014EC4">
        <w:rPr>
          <w:sz w:val="28"/>
          <w:szCs w:val="28"/>
        </w:rPr>
        <w:t xml:space="preserve">; </w:t>
      </w:r>
      <w:r w:rsidR="0095248E">
        <w:rPr>
          <w:sz w:val="28"/>
          <w:szCs w:val="28"/>
        </w:rPr>
        <w:t>b</w:t>
      </w:r>
      <w:r w:rsidRPr="00014EC4">
        <w:rPr>
          <w:sz w:val="28"/>
          <w:szCs w:val="28"/>
        </w:rPr>
        <w:t xml:space="preserve">ún, bánh phở, bánh đa tăng 2,04%; </w:t>
      </w:r>
      <w:r w:rsidR="0095248E">
        <w:rPr>
          <w:sz w:val="28"/>
          <w:szCs w:val="28"/>
        </w:rPr>
        <w:t>ă</w:t>
      </w:r>
      <w:r w:rsidRPr="00014EC4">
        <w:rPr>
          <w:sz w:val="28"/>
          <w:szCs w:val="28"/>
        </w:rPr>
        <w:t xml:space="preserve">n ngoài gia đình tăng 1,86%. Cả 2 nhóm </w:t>
      </w:r>
      <w:r w:rsidR="00F0257F">
        <w:rPr>
          <w:sz w:val="28"/>
          <w:szCs w:val="28"/>
        </w:rPr>
        <w:t>l</w:t>
      </w:r>
      <w:r w:rsidRPr="00014EC4">
        <w:rPr>
          <w:sz w:val="28"/>
          <w:szCs w:val="28"/>
        </w:rPr>
        <w:t xml:space="preserve">ương thực và </w:t>
      </w:r>
      <w:r w:rsidR="00F0257F">
        <w:rPr>
          <w:sz w:val="28"/>
          <w:szCs w:val="28"/>
        </w:rPr>
        <w:t>ă</w:t>
      </w:r>
      <w:r w:rsidRPr="00014EC4">
        <w:rPr>
          <w:sz w:val="28"/>
          <w:szCs w:val="28"/>
        </w:rPr>
        <w:t>n uống ngoài gia đình tăng do nhu tiêu dùng và biến động của giá cả thị trường làm giá bán gạo và các sản phẩm từ gạo tăng nên ảnh hưởng đến chỉ số giá chung 2 nhóm này tăng.</w:t>
      </w:r>
    </w:p>
    <w:p w14:paraId="1DC11F6F" w14:textId="77777777" w:rsidR="00D11A89" w:rsidRPr="00014EC4" w:rsidRDefault="00D11A89" w:rsidP="00ED1ACF">
      <w:pPr>
        <w:spacing w:before="120" w:after="120"/>
        <w:ind w:firstLine="709"/>
        <w:jc w:val="both"/>
        <w:rPr>
          <w:sz w:val="28"/>
          <w:szCs w:val="28"/>
          <w:lang w:val="en-GB"/>
        </w:rPr>
      </w:pPr>
      <w:r w:rsidRPr="00014EC4">
        <w:rPr>
          <w:sz w:val="28"/>
          <w:szCs w:val="28"/>
          <w:lang w:val="en-GB"/>
        </w:rPr>
        <w:t>Nhìn chung, trong tháng các mặt hàng lương thực, thực phẩm phong phú và đa dạng, giá cả tăng giảm khá ổn định theo mùa vụ, đáp ứng được nhu cầu tiêu dùng của người dân trên địa bàn tỉnh.</w:t>
      </w:r>
    </w:p>
    <w:p w14:paraId="14DFA877" w14:textId="77777777" w:rsidR="00D11A89" w:rsidRPr="00014EC4" w:rsidRDefault="00D11A89" w:rsidP="00ED1ACF">
      <w:pPr>
        <w:spacing w:before="120" w:after="120"/>
        <w:ind w:firstLine="709"/>
        <w:jc w:val="both"/>
        <w:rPr>
          <w:b/>
          <w:sz w:val="28"/>
          <w:szCs w:val="28"/>
        </w:rPr>
      </w:pPr>
      <w:r w:rsidRPr="00014EC4">
        <w:rPr>
          <w:b/>
          <w:sz w:val="28"/>
          <w:szCs w:val="28"/>
        </w:rPr>
        <w:t>2. May mặc, mũ nón, giày dép</w:t>
      </w:r>
    </w:p>
    <w:p w14:paraId="634E871D" w14:textId="1B82BC90" w:rsidR="00D11A89" w:rsidRPr="00534138" w:rsidRDefault="00D11A89" w:rsidP="00ED1ACF">
      <w:pPr>
        <w:spacing w:before="120" w:after="120"/>
        <w:ind w:firstLine="709"/>
        <w:jc w:val="both"/>
        <w:rPr>
          <w:sz w:val="28"/>
          <w:szCs w:val="28"/>
        </w:rPr>
      </w:pPr>
      <w:r w:rsidRPr="00534138">
        <w:rPr>
          <w:sz w:val="28"/>
          <w:szCs w:val="28"/>
        </w:rPr>
        <w:t xml:space="preserve">Chỉ số giá nhóm hàng may mặc, mũ nón, giày dép giảm 0,16% so với tháng trước, chủ yếu do ảnh hưởng của nhóm may mặc giảm 0,16%. Cụ thể các mặt hàng: </w:t>
      </w:r>
      <w:r w:rsidR="00F0257F" w:rsidRPr="00534138">
        <w:rPr>
          <w:sz w:val="28"/>
          <w:szCs w:val="28"/>
        </w:rPr>
        <w:t>q</w:t>
      </w:r>
      <w:r w:rsidRPr="00534138">
        <w:rPr>
          <w:sz w:val="28"/>
          <w:szCs w:val="28"/>
        </w:rPr>
        <w:t xml:space="preserve">uần, áo cho nam (13 tuổi trở lên) giảm 0,30%; </w:t>
      </w:r>
      <w:r w:rsidR="0095248E" w:rsidRPr="00534138">
        <w:rPr>
          <w:sz w:val="28"/>
          <w:szCs w:val="28"/>
        </w:rPr>
        <w:t>q</w:t>
      </w:r>
      <w:r w:rsidRPr="00534138">
        <w:rPr>
          <w:sz w:val="28"/>
          <w:szCs w:val="28"/>
        </w:rPr>
        <w:t>uần, áo cho nữ (13 tuổi trở lên) giảm 0,36%. Tác động làm chỉ số giá nhóm này giảm do nhu cầu tiêu dùng trong tháng giảm.</w:t>
      </w:r>
    </w:p>
    <w:p w14:paraId="56A251FA" w14:textId="77777777" w:rsidR="00D11A89" w:rsidRPr="00014EC4" w:rsidRDefault="00D11A89" w:rsidP="00ED1ACF">
      <w:pPr>
        <w:spacing w:before="120" w:after="120"/>
        <w:ind w:firstLine="709"/>
        <w:jc w:val="both"/>
        <w:rPr>
          <w:b/>
          <w:sz w:val="28"/>
          <w:szCs w:val="28"/>
        </w:rPr>
      </w:pPr>
      <w:r w:rsidRPr="00014EC4">
        <w:rPr>
          <w:b/>
          <w:sz w:val="28"/>
          <w:szCs w:val="28"/>
        </w:rPr>
        <w:t>3. Nhà ở, điện, nước, chất đốt và vật liệu xây dựng</w:t>
      </w:r>
    </w:p>
    <w:p w14:paraId="2C2FD9FC" w14:textId="7930DBDC" w:rsidR="00D11A89" w:rsidRPr="00014EC4" w:rsidRDefault="00D11A89" w:rsidP="00ED1ACF">
      <w:pPr>
        <w:spacing w:before="120" w:after="120"/>
        <w:ind w:firstLine="709"/>
        <w:jc w:val="both"/>
        <w:rPr>
          <w:sz w:val="28"/>
          <w:szCs w:val="28"/>
        </w:rPr>
      </w:pPr>
      <w:r w:rsidRPr="00014EC4">
        <w:rPr>
          <w:sz w:val="28"/>
          <w:szCs w:val="28"/>
        </w:rPr>
        <w:t xml:space="preserve">Chỉ số giá nhóm nhà ở, điện, nước, chất đốt và vật liệu xây dựng trong tháng tăng 0,66% so với tháng trước, tăng chủ yếu ở các nhóm hàng: </w:t>
      </w:r>
      <w:r w:rsidR="00F0257F">
        <w:rPr>
          <w:sz w:val="28"/>
          <w:szCs w:val="28"/>
        </w:rPr>
        <w:t>n</w:t>
      </w:r>
      <w:r w:rsidRPr="00014EC4">
        <w:rPr>
          <w:sz w:val="28"/>
          <w:szCs w:val="28"/>
        </w:rPr>
        <w:t xml:space="preserve">hà ở tăng 0,05%; </w:t>
      </w:r>
      <w:r w:rsidR="008029FA">
        <w:rPr>
          <w:sz w:val="28"/>
          <w:szCs w:val="28"/>
        </w:rPr>
        <w:t>n</w:t>
      </w:r>
      <w:r w:rsidRPr="00014EC4">
        <w:rPr>
          <w:sz w:val="28"/>
          <w:szCs w:val="28"/>
        </w:rPr>
        <w:t xml:space="preserve">ước sinh hoạt và dịch vụ khác liên quan đến nhà ở tăng 0,22%; </w:t>
      </w:r>
      <w:r w:rsidR="008029FA">
        <w:rPr>
          <w:sz w:val="28"/>
          <w:szCs w:val="28"/>
        </w:rPr>
        <w:t>đ</w:t>
      </w:r>
      <w:r w:rsidRPr="00014EC4">
        <w:rPr>
          <w:sz w:val="28"/>
          <w:szCs w:val="28"/>
        </w:rPr>
        <w:t xml:space="preserve">iện và dịch vụ điện tăng 3,99%. Cụ thể giá một số mặt hàng: </w:t>
      </w:r>
      <w:r w:rsidR="006E2FFB">
        <w:rPr>
          <w:sz w:val="28"/>
          <w:szCs w:val="28"/>
        </w:rPr>
        <w:t>v</w:t>
      </w:r>
      <w:r w:rsidRPr="00014EC4">
        <w:rPr>
          <w:sz w:val="28"/>
          <w:szCs w:val="28"/>
        </w:rPr>
        <w:t xml:space="preserve">ật liệu bảo dưỡng nhà ở tăng 0,26%; </w:t>
      </w:r>
      <w:r w:rsidR="00F0257F">
        <w:rPr>
          <w:sz w:val="28"/>
          <w:szCs w:val="28"/>
        </w:rPr>
        <w:t>n</w:t>
      </w:r>
      <w:r w:rsidRPr="00014EC4">
        <w:rPr>
          <w:sz w:val="28"/>
          <w:szCs w:val="28"/>
        </w:rPr>
        <w:t>ước sinh hoạt tăng 0,25%, giá trung bình 9.280 đồng/m</w:t>
      </w:r>
      <w:r w:rsidRPr="00014EC4">
        <w:rPr>
          <w:sz w:val="28"/>
          <w:szCs w:val="28"/>
          <w:vertAlign w:val="superscript"/>
        </w:rPr>
        <w:t>3</w:t>
      </w:r>
      <w:r w:rsidRPr="00014EC4">
        <w:rPr>
          <w:sz w:val="28"/>
          <w:szCs w:val="28"/>
        </w:rPr>
        <w:t xml:space="preserve">; </w:t>
      </w:r>
      <w:r w:rsidR="0095248E">
        <w:rPr>
          <w:sz w:val="28"/>
          <w:szCs w:val="28"/>
        </w:rPr>
        <w:t>đ</w:t>
      </w:r>
      <w:r w:rsidRPr="00014EC4">
        <w:rPr>
          <w:sz w:val="28"/>
          <w:szCs w:val="28"/>
        </w:rPr>
        <w:t>iện sinh hoạt tăng 4,06%, giá trung bình 2.2</w:t>
      </w:r>
      <w:r w:rsidR="006E2FFB">
        <w:rPr>
          <w:sz w:val="28"/>
          <w:szCs w:val="28"/>
        </w:rPr>
        <w:t>85 đồng/kwh; giá Gas giảm 1,06%</w:t>
      </w:r>
      <w:r w:rsidRPr="00014EC4">
        <w:rPr>
          <w:sz w:val="28"/>
          <w:szCs w:val="28"/>
        </w:rPr>
        <w:t xml:space="preserve">; </w:t>
      </w:r>
      <w:r w:rsidR="00F0257F">
        <w:rPr>
          <w:sz w:val="28"/>
          <w:szCs w:val="28"/>
        </w:rPr>
        <w:t>d</w:t>
      </w:r>
      <w:r w:rsidR="0095248E">
        <w:rPr>
          <w:sz w:val="28"/>
          <w:szCs w:val="28"/>
        </w:rPr>
        <w:t>ầu hoả tăng 3,99%</w:t>
      </w:r>
      <w:r w:rsidRPr="00014EC4">
        <w:rPr>
          <w:sz w:val="28"/>
          <w:szCs w:val="28"/>
        </w:rPr>
        <w:t xml:space="preserve">. Tác động làm tăng chỉ số giá nhóm này chủ yếu do nhu cầu sử dụng điện, nước của người dân trong mùa hè nắng nóng tăng. Ngoài ra, trong tháng giá điện đã áp dụng mức giá mới tăng nên ảnh hưởng chung đến chỉ số nhóm này tăng. </w:t>
      </w:r>
    </w:p>
    <w:p w14:paraId="42CA5D2E" w14:textId="77777777" w:rsidR="00D11A89" w:rsidRPr="00014EC4" w:rsidRDefault="00D11A89" w:rsidP="00ED1ACF">
      <w:pPr>
        <w:spacing w:before="120" w:after="120"/>
        <w:ind w:firstLine="709"/>
        <w:jc w:val="both"/>
        <w:rPr>
          <w:b/>
          <w:bCs/>
          <w:sz w:val="28"/>
          <w:szCs w:val="28"/>
        </w:rPr>
      </w:pPr>
      <w:r w:rsidRPr="00014EC4">
        <w:rPr>
          <w:b/>
          <w:bCs/>
          <w:sz w:val="28"/>
          <w:szCs w:val="28"/>
        </w:rPr>
        <w:t>4. Thiết bị và đồ dùng gia đình</w:t>
      </w:r>
    </w:p>
    <w:p w14:paraId="6865963C" w14:textId="79038155" w:rsidR="00D11A89" w:rsidRPr="00014EC4" w:rsidRDefault="00D11A89" w:rsidP="00ED1ACF">
      <w:pPr>
        <w:spacing w:before="120" w:after="120"/>
        <w:ind w:firstLine="709"/>
        <w:jc w:val="both"/>
        <w:rPr>
          <w:sz w:val="28"/>
          <w:szCs w:val="28"/>
        </w:rPr>
      </w:pPr>
      <w:r w:rsidRPr="00014EC4">
        <w:rPr>
          <w:sz w:val="28"/>
          <w:szCs w:val="28"/>
        </w:rPr>
        <w:t xml:space="preserve">Chỉ số giá nhóm thiết bị và đồ dùng gia đình tăng nhẹ 0,03% so với tháng trước, do ảnh hưởng của các nhóm: </w:t>
      </w:r>
      <w:r w:rsidR="002B04FB">
        <w:rPr>
          <w:sz w:val="28"/>
          <w:szCs w:val="28"/>
        </w:rPr>
        <w:t>t</w:t>
      </w:r>
      <w:r w:rsidRPr="00014EC4">
        <w:rPr>
          <w:sz w:val="28"/>
          <w:szCs w:val="28"/>
        </w:rPr>
        <w:t xml:space="preserve">hiết bị dùng trong gia đình tăng 0,08%; đồ dùng trong nhà tăng 0,02%, cụ thể mặt hàng: </w:t>
      </w:r>
      <w:r w:rsidR="008029FA">
        <w:rPr>
          <w:sz w:val="28"/>
          <w:szCs w:val="28"/>
        </w:rPr>
        <w:t>m</w:t>
      </w:r>
      <w:r w:rsidRPr="00014EC4">
        <w:rPr>
          <w:sz w:val="28"/>
          <w:szCs w:val="28"/>
        </w:rPr>
        <w:t xml:space="preserve">áy giặt tăng 0,26%; </w:t>
      </w:r>
      <w:r w:rsidR="008029FA">
        <w:rPr>
          <w:sz w:val="28"/>
          <w:szCs w:val="28"/>
        </w:rPr>
        <w:t>t</w:t>
      </w:r>
      <w:r w:rsidRPr="00014EC4">
        <w:rPr>
          <w:sz w:val="28"/>
          <w:szCs w:val="28"/>
        </w:rPr>
        <w:t xml:space="preserve">hiết bị khác tăng 0,15%; </w:t>
      </w:r>
      <w:r w:rsidR="008029FA">
        <w:rPr>
          <w:sz w:val="28"/>
          <w:szCs w:val="28"/>
        </w:rPr>
        <w:t>đ</w:t>
      </w:r>
      <w:r w:rsidRPr="00014EC4">
        <w:rPr>
          <w:sz w:val="28"/>
          <w:szCs w:val="28"/>
        </w:rPr>
        <w:t xml:space="preserve">ồ điện 0,21%; </w:t>
      </w:r>
      <w:r w:rsidR="008029FA">
        <w:rPr>
          <w:sz w:val="28"/>
          <w:szCs w:val="28"/>
        </w:rPr>
        <w:t>đ</w:t>
      </w:r>
      <w:r w:rsidRPr="00014EC4">
        <w:rPr>
          <w:sz w:val="28"/>
          <w:szCs w:val="28"/>
        </w:rPr>
        <w:t>ồ dùng nấu ăn tăng 0,06. Chỉ số giá nhóm này tăng nhẹ do nhu cầu tiêu dùng của người dân đối với các thiết bị và đồ dùng gia đình trong tháng tăng.</w:t>
      </w:r>
    </w:p>
    <w:p w14:paraId="1C41648D" w14:textId="77777777" w:rsidR="00D11A89" w:rsidRPr="00014EC4" w:rsidRDefault="00D11A89" w:rsidP="00ED1ACF">
      <w:pPr>
        <w:spacing w:before="120" w:after="120"/>
        <w:ind w:firstLine="709"/>
        <w:jc w:val="both"/>
        <w:rPr>
          <w:b/>
          <w:sz w:val="28"/>
          <w:szCs w:val="28"/>
        </w:rPr>
      </w:pPr>
      <w:r w:rsidRPr="00014EC4">
        <w:rPr>
          <w:b/>
          <w:sz w:val="28"/>
          <w:szCs w:val="28"/>
        </w:rPr>
        <w:t>5. Thuốc và dịch vụ y tế</w:t>
      </w:r>
    </w:p>
    <w:p w14:paraId="13BB2627" w14:textId="71523D2F" w:rsidR="00D11A89" w:rsidRPr="00014EC4" w:rsidRDefault="00D11A89" w:rsidP="00ED1ACF">
      <w:pPr>
        <w:spacing w:before="120" w:after="120"/>
        <w:ind w:firstLine="709"/>
        <w:jc w:val="both"/>
        <w:rPr>
          <w:sz w:val="28"/>
          <w:szCs w:val="28"/>
        </w:rPr>
      </w:pPr>
      <w:r w:rsidRPr="00014EC4">
        <w:rPr>
          <w:sz w:val="28"/>
          <w:szCs w:val="28"/>
        </w:rPr>
        <w:t xml:space="preserve">Chỉ số giá nhóm thuốc và dịch vụ y tế tăng nhẹ 0,05% so với tháng trước, tăng ở nhóm thuốc và thiết bị y tế tăng 0,28%. Cụ thể giá một số loại thuốc tăng: </w:t>
      </w:r>
      <w:r w:rsidR="00435A0F">
        <w:rPr>
          <w:sz w:val="28"/>
          <w:szCs w:val="28"/>
        </w:rPr>
        <w:t>t</w:t>
      </w:r>
      <w:r w:rsidRPr="00014EC4">
        <w:rPr>
          <w:sz w:val="28"/>
          <w:szCs w:val="28"/>
        </w:rPr>
        <w:t xml:space="preserve">huốc chống nhiễm, điều trị ký sinh trùng tăng 0,86%; </w:t>
      </w:r>
      <w:r w:rsidR="00435A0F">
        <w:rPr>
          <w:sz w:val="28"/>
          <w:szCs w:val="28"/>
        </w:rPr>
        <w:t>t</w:t>
      </w:r>
      <w:r w:rsidRPr="00014EC4">
        <w:rPr>
          <w:sz w:val="28"/>
          <w:szCs w:val="28"/>
        </w:rPr>
        <w:t xml:space="preserve">huốc tim mạch tăng 0,72%; </w:t>
      </w:r>
      <w:r w:rsidR="00435A0F">
        <w:rPr>
          <w:sz w:val="28"/>
          <w:szCs w:val="28"/>
        </w:rPr>
        <w:t>t</w:t>
      </w:r>
      <w:r w:rsidRPr="00014EC4">
        <w:rPr>
          <w:sz w:val="28"/>
          <w:szCs w:val="28"/>
        </w:rPr>
        <w:t xml:space="preserve">huốc giảm đau, thuốc hạ sốt, chống viêm không steroid và thuốc điều trị </w:t>
      </w:r>
      <w:r w:rsidRPr="00014EC4">
        <w:rPr>
          <w:sz w:val="28"/>
          <w:szCs w:val="28"/>
        </w:rPr>
        <w:lastRenderedPageBreak/>
        <w:t xml:space="preserve">gút và các bệnh xương tăng 0,41% so với tháng trước. Nhóm dụng cụ y tế và dịch vụ khám sức khoẻ có chỉ số giá ổn định. </w:t>
      </w:r>
    </w:p>
    <w:p w14:paraId="0DB3711A" w14:textId="77777777" w:rsidR="00D11A89" w:rsidRPr="00014EC4" w:rsidRDefault="00D11A89" w:rsidP="00ED1ACF">
      <w:pPr>
        <w:spacing w:before="120" w:after="120"/>
        <w:ind w:firstLine="709"/>
        <w:jc w:val="both"/>
        <w:rPr>
          <w:b/>
          <w:sz w:val="28"/>
          <w:szCs w:val="28"/>
        </w:rPr>
      </w:pPr>
      <w:r w:rsidRPr="00014EC4">
        <w:rPr>
          <w:b/>
          <w:sz w:val="28"/>
          <w:szCs w:val="28"/>
        </w:rPr>
        <w:t xml:space="preserve">6. Giao thông </w:t>
      </w:r>
    </w:p>
    <w:p w14:paraId="38069823" w14:textId="4072905B" w:rsidR="00D11A89" w:rsidRPr="00014EC4" w:rsidRDefault="00A77AD0" w:rsidP="00ED1ACF">
      <w:pPr>
        <w:spacing w:before="120" w:after="120"/>
        <w:ind w:firstLine="709"/>
        <w:jc w:val="both"/>
        <w:rPr>
          <w:sz w:val="28"/>
          <w:szCs w:val="28"/>
        </w:rPr>
      </w:pPr>
      <w:r w:rsidRPr="00484514">
        <w:rPr>
          <w:sz w:val="28"/>
          <w:szCs w:val="28"/>
        </w:rPr>
        <w:t>N</w:t>
      </w:r>
      <w:r w:rsidR="00D11A89" w:rsidRPr="00484514">
        <w:rPr>
          <w:sz w:val="28"/>
          <w:szCs w:val="28"/>
        </w:rPr>
        <w:t>hóm giao thông trong tháng tăng 1,30% so với tháng trước.</w:t>
      </w:r>
      <w:r w:rsidR="00D11A89" w:rsidRPr="00014EC4">
        <w:rPr>
          <w:sz w:val="28"/>
          <w:szCs w:val="28"/>
        </w:rPr>
        <w:t xml:space="preserve"> Tăng do sự điều hành kinh doanh xăng dầu của Bộ C</w:t>
      </w:r>
      <w:bookmarkStart w:id="0" w:name="_GoBack"/>
      <w:bookmarkEnd w:id="0"/>
      <w:r w:rsidR="00D11A89" w:rsidRPr="00014EC4">
        <w:rPr>
          <w:sz w:val="28"/>
          <w:szCs w:val="28"/>
        </w:rPr>
        <w:t xml:space="preserve">ông Thương. Chủ yếu </w:t>
      </w:r>
      <w:r w:rsidR="00E865CC">
        <w:rPr>
          <w:sz w:val="28"/>
          <w:szCs w:val="28"/>
        </w:rPr>
        <w:t>tăng</w:t>
      </w:r>
      <w:r w:rsidR="00D11A89" w:rsidRPr="00014EC4">
        <w:rPr>
          <w:sz w:val="28"/>
          <w:szCs w:val="28"/>
        </w:rPr>
        <w:t xml:space="preserve"> ở các nhóm: </w:t>
      </w:r>
      <w:r w:rsidR="00435A0F">
        <w:rPr>
          <w:sz w:val="28"/>
          <w:szCs w:val="28"/>
        </w:rPr>
        <w:t>n</w:t>
      </w:r>
      <w:r w:rsidR="00D11A89" w:rsidRPr="00014EC4">
        <w:rPr>
          <w:sz w:val="28"/>
          <w:szCs w:val="28"/>
        </w:rPr>
        <w:t xml:space="preserve">hiên liệu </w:t>
      </w:r>
      <w:r w:rsidR="002B04FB">
        <w:rPr>
          <w:sz w:val="28"/>
          <w:szCs w:val="28"/>
        </w:rPr>
        <w:t>t</w:t>
      </w:r>
      <w:r w:rsidR="00D11A89" w:rsidRPr="00014EC4">
        <w:rPr>
          <w:sz w:val="28"/>
          <w:szCs w:val="28"/>
        </w:rPr>
        <w:t xml:space="preserve">ăng 4,12%; </w:t>
      </w:r>
      <w:r w:rsidR="00435A0F">
        <w:rPr>
          <w:sz w:val="28"/>
          <w:szCs w:val="28"/>
        </w:rPr>
        <w:t>d</w:t>
      </w:r>
      <w:r w:rsidR="00D11A89" w:rsidRPr="00014EC4">
        <w:rPr>
          <w:sz w:val="28"/>
          <w:szCs w:val="28"/>
        </w:rPr>
        <w:t xml:space="preserve">ịch vụ giao thông công cộng tăng 0,33%. Cụ thể: </w:t>
      </w:r>
      <w:r w:rsidR="00435A0F">
        <w:rPr>
          <w:sz w:val="28"/>
          <w:szCs w:val="28"/>
        </w:rPr>
        <w:t>x</w:t>
      </w:r>
      <w:r w:rsidR="00D11A89" w:rsidRPr="00014EC4">
        <w:rPr>
          <w:sz w:val="28"/>
          <w:szCs w:val="28"/>
        </w:rPr>
        <w:t xml:space="preserve">ăng tăng 4,12%; </w:t>
      </w:r>
      <w:r w:rsidR="002B04FB">
        <w:rPr>
          <w:sz w:val="28"/>
          <w:szCs w:val="28"/>
        </w:rPr>
        <w:t>d</w:t>
      </w:r>
      <w:r w:rsidR="00D11A89" w:rsidRPr="00014EC4">
        <w:rPr>
          <w:sz w:val="28"/>
          <w:szCs w:val="28"/>
        </w:rPr>
        <w:t xml:space="preserve">ầu diezel tăng 5,37% so với tháng trước. </w:t>
      </w:r>
    </w:p>
    <w:p w14:paraId="70073833" w14:textId="21E2CA75" w:rsidR="00D11A89" w:rsidRPr="00014EC4" w:rsidRDefault="00D11A89" w:rsidP="00ED1ACF">
      <w:pPr>
        <w:spacing w:before="120" w:after="120"/>
        <w:ind w:firstLine="709"/>
        <w:jc w:val="both"/>
        <w:rPr>
          <w:sz w:val="28"/>
          <w:szCs w:val="28"/>
        </w:rPr>
      </w:pPr>
      <w:r w:rsidRPr="00014EC4">
        <w:rPr>
          <w:sz w:val="28"/>
          <w:szCs w:val="28"/>
        </w:rPr>
        <w:t>Giá xăng dầu biến động theo các kỳ điều hành xăng dầu của Bộ Côn</w:t>
      </w:r>
      <w:r w:rsidR="00CB593E" w:rsidRPr="00014EC4">
        <w:rPr>
          <w:sz w:val="28"/>
          <w:szCs w:val="28"/>
        </w:rPr>
        <w:t>g Thương, trong tháng 6</w:t>
      </w:r>
      <w:r w:rsidR="002B04FB">
        <w:rPr>
          <w:sz w:val="28"/>
          <w:szCs w:val="28"/>
        </w:rPr>
        <w:t xml:space="preserve"> là</w:t>
      </w:r>
      <w:r w:rsidR="00CB593E" w:rsidRPr="00014EC4">
        <w:rPr>
          <w:sz w:val="28"/>
          <w:szCs w:val="28"/>
        </w:rPr>
        <w:t xml:space="preserve"> 04 lần.</w:t>
      </w:r>
    </w:p>
    <w:p w14:paraId="68E5CC0A" w14:textId="77777777" w:rsidR="00D11A89" w:rsidRPr="00014EC4" w:rsidRDefault="00D11A89" w:rsidP="00ED1ACF">
      <w:pPr>
        <w:spacing w:before="120" w:after="120"/>
        <w:ind w:firstLine="709"/>
        <w:jc w:val="both"/>
        <w:rPr>
          <w:b/>
          <w:sz w:val="28"/>
          <w:szCs w:val="28"/>
        </w:rPr>
      </w:pPr>
      <w:r w:rsidRPr="00014EC4">
        <w:rPr>
          <w:b/>
          <w:sz w:val="28"/>
          <w:szCs w:val="28"/>
        </w:rPr>
        <w:t>7. Hàng hóa và dịch vụ khác</w:t>
      </w:r>
    </w:p>
    <w:p w14:paraId="52D1898D" w14:textId="77777777" w:rsidR="00D11A89" w:rsidRPr="002B04FB" w:rsidRDefault="00D11A89" w:rsidP="00ED1ACF">
      <w:pPr>
        <w:spacing w:before="120" w:after="120"/>
        <w:ind w:firstLine="709"/>
        <w:jc w:val="both"/>
        <w:rPr>
          <w:spacing w:val="-2"/>
          <w:sz w:val="28"/>
          <w:szCs w:val="28"/>
        </w:rPr>
      </w:pPr>
      <w:r w:rsidRPr="002B04FB">
        <w:rPr>
          <w:spacing w:val="-2"/>
          <w:sz w:val="28"/>
          <w:szCs w:val="28"/>
        </w:rPr>
        <w:t>Chỉ số giá nhóm hàng hóa và dịch vụ khác giảm nhẹ 0,03% so với tháng trước, giảm chủ yếu ở nhóm hàng hóa và dịch vụ cho cá nhân giảm 0,11%, cụ thể mặt hàng đồ trang sức giảm 5,97% do ảnh hưởng của giá vàng trong nước giảm.</w:t>
      </w:r>
    </w:p>
    <w:p w14:paraId="4B96D1F8" w14:textId="77777777" w:rsidR="00D11A89" w:rsidRPr="00014EC4" w:rsidRDefault="00D11A89" w:rsidP="00ED1ACF">
      <w:pPr>
        <w:spacing w:before="120" w:after="120"/>
        <w:ind w:firstLine="709"/>
        <w:jc w:val="both"/>
        <w:rPr>
          <w:b/>
          <w:sz w:val="28"/>
          <w:szCs w:val="28"/>
          <w:lang w:val="nl-NL"/>
        </w:rPr>
      </w:pPr>
      <w:r w:rsidRPr="00014EC4">
        <w:rPr>
          <w:b/>
          <w:sz w:val="28"/>
          <w:szCs w:val="28"/>
          <w:lang w:val="nl-NL"/>
        </w:rPr>
        <w:t>Giá Vàng và Đô la</w:t>
      </w:r>
    </w:p>
    <w:p w14:paraId="7401F893" w14:textId="77777777" w:rsidR="00D11A89" w:rsidRPr="00014EC4" w:rsidRDefault="00D11A89" w:rsidP="00ED1ACF">
      <w:pPr>
        <w:spacing w:before="120" w:after="120"/>
        <w:ind w:firstLine="709"/>
        <w:jc w:val="both"/>
        <w:rPr>
          <w:sz w:val="28"/>
          <w:szCs w:val="28"/>
        </w:rPr>
      </w:pPr>
      <w:r w:rsidRPr="00014EC4">
        <w:rPr>
          <w:sz w:val="28"/>
          <w:szCs w:val="28"/>
        </w:rPr>
        <w:t>Chỉ số giá Vàng giảm 3,38% so với tháng trước. Trong tháng 6 năm 2025 giá vàng bình quân dao động quanh mức 11.429.000 đồng/chỉ vàng 99,99%.</w:t>
      </w:r>
    </w:p>
    <w:p w14:paraId="0AAA054F" w14:textId="77777777" w:rsidR="00D11A89" w:rsidRPr="00014EC4" w:rsidRDefault="00D11A89" w:rsidP="00ED1ACF">
      <w:pPr>
        <w:spacing w:before="120" w:after="120"/>
        <w:ind w:firstLine="709"/>
        <w:jc w:val="both"/>
        <w:rPr>
          <w:sz w:val="28"/>
          <w:szCs w:val="28"/>
        </w:rPr>
      </w:pPr>
      <w:r w:rsidRPr="00014EC4">
        <w:rPr>
          <w:sz w:val="28"/>
          <w:szCs w:val="28"/>
        </w:rPr>
        <w:t>Chỉ số giá Đô la Mỹ tăng 0,22% so với tháng trước. Trong tháng 6 năm 2025 giá USD bình quân trên thị trường dao động quanh mức 26.203 VNĐ/USD.</w:t>
      </w:r>
    </w:p>
    <w:p w14:paraId="025B9146" w14:textId="08F4281F" w:rsidR="00EC30F4" w:rsidRPr="00014EC4" w:rsidRDefault="000E07F5" w:rsidP="00ED1ACF">
      <w:pPr>
        <w:spacing w:before="120" w:after="120"/>
        <w:ind w:firstLine="709"/>
        <w:jc w:val="both"/>
        <w:rPr>
          <w:sz w:val="28"/>
          <w:szCs w:val="28"/>
        </w:rPr>
      </w:pPr>
      <w:r w:rsidRPr="00014EC4">
        <w:rPr>
          <w:b/>
          <w:sz w:val="28"/>
          <w:szCs w:val="28"/>
          <w:lang w:val="pt-BR"/>
        </w:rPr>
        <w:t>III</w:t>
      </w:r>
      <w:r w:rsidR="0006699B" w:rsidRPr="00014EC4">
        <w:rPr>
          <w:b/>
          <w:sz w:val="28"/>
          <w:szCs w:val="28"/>
          <w:lang w:val="pt-BR"/>
        </w:rPr>
        <w:t>. TÌNH HÌNH THỰC HIỆN CÔNG TÁC QUẢN LÝ, ĐIỀU TIẾT GIÁ</w:t>
      </w:r>
      <w:r w:rsidR="006041E0" w:rsidRPr="00014EC4">
        <w:rPr>
          <w:b/>
          <w:sz w:val="28"/>
          <w:szCs w:val="28"/>
          <w:lang w:val="pt-BR"/>
        </w:rPr>
        <w:t xml:space="preserve"> </w:t>
      </w:r>
      <w:r w:rsidR="005C4E53">
        <w:rPr>
          <w:b/>
          <w:sz w:val="28"/>
          <w:szCs w:val="28"/>
          <w:lang w:val="pt-BR"/>
        </w:rPr>
        <w:t>QUÝ II</w:t>
      </w:r>
      <w:r w:rsidR="006041E0" w:rsidRPr="00014EC4">
        <w:rPr>
          <w:b/>
          <w:sz w:val="28"/>
          <w:szCs w:val="28"/>
          <w:lang w:val="pt-BR"/>
        </w:rPr>
        <w:t xml:space="preserve"> NĂM </w:t>
      </w:r>
      <w:r w:rsidR="00244398" w:rsidRPr="00014EC4">
        <w:rPr>
          <w:b/>
          <w:sz w:val="28"/>
          <w:szCs w:val="28"/>
          <w:lang w:val="pt-BR"/>
        </w:rPr>
        <w:t>2025</w:t>
      </w:r>
    </w:p>
    <w:p w14:paraId="2BCDE0BF" w14:textId="2A9E7216" w:rsidR="002625B1" w:rsidRPr="00014EC4" w:rsidRDefault="00256C2D" w:rsidP="00ED1ACF">
      <w:pPr>
        <w:spacing w:before="120" w:after="120"/>
        <w:ind w:firstLine="709"/>
        <w:jc w:val="both"/>
        <w:rPr>
          <w:sz w:val="28"/>
          <w:szCs w:val="28"/>
          <w:lang w:val="pt-BR"/>
        </w:rPr>
      </w:pPr>
      <w:r w:rsidRPr="00014EC4">
        <w:rPr>
          <w:sz w:val="28"/>
          <w:szCs w:val="28"/>
          <w:lang w:val="pt-BR"/>
        </w:rPr>
        <w:t xml:space="preserve">- Tình hình ban hành các văn bản quy phạm pháp luật: </w:t>
      </w:r>
      <w:r w:rsidR="009A283F" w:rsidRPr="00014EC4">
        <w:rPr>
          <w:sz w:val="28"/>
          <w:szCs w:val="28"/>
          <w:lang w:val="nl-NL"/>
        </w:rPr>
        <w:t>chỉ đạo các cơ quan,</w:t>
      </w:r>
      <w:r w:rsidR="009A283F" w:rsidRPr="00014EC4">
        <w:rPr>
          <w:sz w:val="28"/>
          <w:szCs w:val="28"/>
          <w:lang w:val="pt-BR"/>
        </w:rPr>
        <w:t xml:space="preserve"> đơn vị tiếp tục rà soát các văn bản quy phạm pháp luật hiện hành về lĩnh vực giá, kịp thời kiến nghị sửa đổi, bổ sung nhằm bảo đảm tính thống nhất, đồng bộ của hệ thống văn bản quy phạm pháp luật và kịp thời tổ chức thực hiện khi sắp xếp, kiện toàn tổ chức bộ máy chính quyền địa phương 02 cấp (hoạt động kể từ ngày 01/7/2025).</w:t>
      </w:r>
      <w:r w:rsidR="000C3649" w:rsidRPr="00014EC4">
        <w:rPr>
          <w:sz w:val="28"/>
          <w:szCs w:val="28"/>
          <w:lang w:val="pt-BR"/>
        </w:rPr>
        <w:t xml:space="preserve"> </w:t>
      </w:r>
    </w:p>
    <w:p w14:paraId="7CEB9607" w14:textId="36AF9103" w:rsidR="00EC30F4" w:rsidRPr="007B303D" w:rsidRDefault="00B227D5" w:rsidP="00ED1ACF">
      <w:pPr>
        <w:spacing w:before="120" w:after="120"/>
        <w:ind w:firstLine="709"/>
        <w:jc w:val="both"/>
        <w:rPr>
          <w:sz w:val="28"/>
          <w:szCs w:val="28"/>
          <w:lang w:val="pt-BR"/>
        </w:rPr>
      </w:pPr>
      <w:r w:rsidRPr="00014EC4">
        <w:rPr>
          <w:sz w:val="28"/>
          <w:szCs w:val="28"/>
          <w:lang w:val="pt-BR"/>
        </w:rPr>
        <w:t xml:space="preserve">- Công tác định giá: </w:t>
      </w:r>
      <w:r w:rsidR="00576976" w:rsidRPr="00014EC4">
        <w:rPr>
          <w:sz w:val="28"/>
          <w:szCs w:val="28"/>
          <w:lang w:val="pt-BR"/>
        </w:rPr>
        <w:t xml:space="preserve">giao </w:t>
      </w:r>
      <w:r w:rsidR="008E3923" w:rsidRPr="00014EC4">
        <w:rPr>
          <w:sz w:val="28"/>
          <w:szCs w:val="28"/>
          <w:lang w:val="pt-BR"/>
        </w:rPr>
        <w:t xml:space="preserve">nhiệm vụ cho </w:t>
      </w:r>
      <w:r w:rsidR="00576976" w:rsidRPr="00014EC4">
        <w:rPr>
          <w:sz w:val="28"/>
          <w:szCs w:val="28"/>
          <w:lang w:val="pt-BR"/>
        </w:rPr>
        <w:t>các sở quản lý chuyên ngành, lĩnh vực, UBND cấp huyện</w:t>
      </w:r>
      <w:r w:rsidR="002D36AD" w:rsidRPr="00014EC4">
        <w:rPr>
          <w:sz w:val="28"/>
          <w:szCs w:val="28"/>
          <w:lang w:val="pt-BR"/>
        </w:rPr>
        <w:t xml:space="preserve"> tiếp tục</w:t>
      </w:r>
      <w:r w:rsidR="00576976" w:rsidRPr="00014EC4">
        <w:rPr>
          <w:sz w:val="28"/>
          <w:szCs w:val="28"/>
          <w:lang w:val="pt-BR"/>
        </w:rPr>
        <w:t xml:space="preserve"> tham mưu UBND</w:t>
      </w:r>
      <w:r w:rsidR="00576976" w:rsidRPr="007B303D">
        <w:rPr>
          <w:sz w:val="28"/>
          <w:szCs w:val="28"/>
          <w:lang w:val="pt-BR"/>
        </w:rPr>
        <w:t xml:space="preserve"> tỉnh định giá hàng hóa, dịch vụ d</w:t>
      </w:r>
      <w:r w:rsidR="00956298" w:rsidRPr="007B303D">
        <w:rPr>
          <w:sz w:val="28"/>
          <w:szCs w:val="28"/>
          <w:lang w:val="pt-BR"/>
        </w:rPr>
        <w:t>o</w:t>
      </w:r>
      <w:r w:rsidR="00576976" w:rsidRPr="007B303D">
        <w:rPr>
          <w:sz w:val="28"/>
          <w:szCs w:val="28"/>
          <w:lang w:val="pt-BR"/>
        </w:rPr>
        <w:t xml:space="preserve"> Nhà nước định giá thuộc thẩm quyền ban hành </w:t>
      </w:r>
      <w:r w:rsidR="007705DC" w:rsidRPr="007B303D">
        <w:rPr>
          <w:sz w:val="28"/>
          <w:szCs w:val="28"/>
          <w:lang w:val="pt-BR"/>
        </w:rPr>
        <w:t>đảm bảo theo quy định</w:t>
      </w:r>
      <w:r w:rsidR="004E7EB3" w:rsidRPr="007B303D">
        <w:rPr>
          <w:sz w:val="28"/>
          <w:szCs w:val="28"/>
          <w:lang w:val="pt-BR"/>
        </w:rPr>
        <w:t>.</w:t>
      </w:r>
    </w:p>
    <w:p w14:paraId="7E07EEE1" w14:textId="5399157A" w:rsidR="007B0AFB" w:rsidRPr="007B303D" w:rsidRDefault="00057F5E" w:rsidP="00ED1ACF">
      <w:pPr>
        <w:spacing w:before="120" w:after="120"/>
        <w:ind w:firstLine="709"/>
        <w:jc w:val="both"/>
        <w:rPr>
          <w:sz w:val="28"/>
          <w:szCs w:val="28"/>
          <w:lang w:val="pt-BR"/>
        </w:rPr>
      </w:pPr>
      <w:r w:rsidRPr="007B303D">
        <w:rPr>
          <w:sz w:val="28"/>
          <w:szCs w:val="28"/>
          <w:lang w:val="pt-BR"/>
        </w:rPr>
        <w:t>-</w:t>
      </w:r>
      <w:r w:rsidR="0006699B" w:rsidRPr="007B303D">
        <w:rPr>
          <w:sz w:val="28"/>
          <w:szCs w:val="28"/>
          <w:lang w:val="pt-BR"/>
        </w:rPr>
        <w:t xml:space="preserve"> Tìn</w:t>
      </w:r>
      <w:r w:rsidR="00EE4606" w:rsidRPr="007B303D">
        <w:rPr>
          <w:sz w:val="28"/>
          <w:szCs w:val="28"/>
          <w:lang w:val="pt-BR"/>
        </w:rPr>
        <w:t>h hình thực hiện kê khai giá</w:t>
      </w:r>
      <w:r w:rsidRPr="007B303D">
        <w:rPr>
          <w:sz w:val="28"/>
          <w:szCs w:val="28"/>
          <w:lang w:val="pt-BR"/>
        </w:rPr>
        <w:t xml:space="preserve">: </w:t>
      </w:r>
      <w:r w:rsidR="009C0B95" w:rsidRPr="007B303D">
        <w:rPr>
          <w:sz w:val="28"/>
          <w:szCs w:val="28"/>
          <w:lang w:val="pt-BR"/>
        </w:rPr>
        <w:t>chỉ đạo t</w:t>
      </w:r>
      <w:r w:rsidR="00E42F81" w:rsidRPr="007B303D">
        <w:rPr>
          <w:sz w:val="28"/>
          <w:szCs w:val="28"/>
          <w:lang w:val="pt-BR"/>
        </w:rPr>
        <w:t>ăng cường</w:t>
      </w:r>
      <w:r w:rsidR="007A515F" w:rsidRPr="007B303D">
        <w:rPr>
          <w:sz w:val="28"/>
          <w:szCs w:val="28"/>
          <w:lang w:val="pt-BR"/>
        </w:rPr>
        <w:t xml:space="preserve"> công tác</w:t>
      </w:r>
      <w:r w:rsidR="00021E4E" w:rsidRPr="007B303D">
        <w:rPr>
          <w:sz w:val="28"/>
          <w:szCs w:val="28"/>
          <w:lang w:val="pt-BR"/>
        </w:rPr>
        <w:t xml:space="preserve"> quản lý nhà nước về</w:t>
      </w:r>
      <w:r w:rsidR="007A515F" w:rsidRPr="007B303D">
        <w:rPr>
          <w:sz w:val="28"/>
          <w:szCs w:val="28"/>
          <w:lang w:val="pt-BR"/>
        </w:rPr>
        <w:t xml:space="preserve"> kê khai giá, niêm yết giá, thu tiền theo giá niêm yết </w:t>
      </w:r>
      <w:r w:rsidR="004B4995" w:rsidRPr="007B303D">
        <w:rPr>
          <w:sz w:val="28"/>
          <w:szCs w:val="28"/>
          <w:lang w:val="pt-BR"/>
        </w:rPr>
        <w:t>đối với các tổ chức kinh doanh hàng hoá, dịch vụ thực hiện kê khai giá</w:t>
      </w:r>
      <w:r w:rsidR="00D16CC3" w:rsidRPr="007B303D">
        <w:rPr>
          <w:sz w:val="28"/>
          <w:szCs w:val="28"/>
          <w:lang w:val="pt-BR"/>
        </w:rPr>
        <w:t xml:space="preserve">; </w:t>
      </w:r>
      <w:r w:rsidR="009C0B95" w:rsidRPr="007B303D">
        <w:rPr>
          <w:sz w:val="28"/>
          <w:szCs w:val="28"/>
          <w:lang w:val="pt-BR"/>
        </w:rPr>
        <w:t>t</w:t>
      </w:r>
      <w:r w:rsidR="00EC6A2C" w:rsidRPr="007B303D">
        <w:rPr>
          <w:sz w:val="28"/>
          <w:szCs w:val="28"/>
          <w:lang w:val="pt-BR"/>
        </w:rPr>
        <w:t>riển khai thực hiện rà soát danh sách tổ chức kinh doanh hàng hoá, dịch vụ thực hiện kê khai giá thuộc thẩm quyền</w:t>
      </w:r>
      <w:r w:rsidR="00284102" w:rsidRPr="007B303D">
        <w:rPr>
          <w:sz w:val="28"/>
          <w:szCs w:val="28"/>
          <w:lang w:val="pt-BR"/>
        </w:rPr>
        <w:t xml:space="preserve"> </w:t>
      </w:r>
      <w:r w:rsidR="006D1FD6" w:rsidRPr="007B303D">
        <w:rPr>
          <w:sz w:val="28"/>
          <w:szCs w:val="28"/>
          <w:lang w:val="pt-BR"/>
        </w:rPr>
        <w:t>theo quy định Luật Giá năm 2</w:t>
      </w:r>
      <w:r w:rsidR="00F30A81" w:rsidRPr="007B303D">
        <w:rPr>
          <w:sz w:val="28"/>
          <w:szCs w:val="28"/>
          <w:lang w:val="pt-BR"/>
        </w:rPr>
        <w:t>02</w:t>
      </w:r>
      <w:r w:rsidR="006D1FD6" w:rsidRPr="007B303D">
        <w:rPr>
          <w:sz w:val="28"/>
          <w:szCs w:val="28"/>
          <w:lang w:val="pt-BR"/>
        </w:rPr>
        <w:t>3</w:t>
      </w:r>
      <w:r w:rsidR="00EB2B2E" w:rsidRPr="007B303D">
        <w:rPr>
          <w:sz w:val="28"/>
          <w:szCs w:val="28"/>
          <w:lang w:val="pt-BR"/>
        </w:rPr>
        <w:t>.</w:t>
      </w:r>
    </w:p>
    <w:p w14:paraId="1164204F" w14:textId="05CF495C" w:rsidR="006B79D0" w:rsidRPr="007B303D" w:rsidRDefault="007643B9" w:rsidP="00ED1ACF">
      <w:pPr>
        <w:spacing w:before="120" w:after="120"/>
        <w:ind w:firstLine="709"/>
        <w:jc w:val="both"/>
        <w:rPr>
          <w:sz w:val="28"/>
          <w:szCs w:val="28"/>
        </w:rPr>
      </w:pPr>
      <w:r w:rsidRPr="007B303D">
        <w:rPr>
          <w:b/>
          <w:sz w:val="28"/>
          <w:szCs w:val="28"/>
          <w:lang w:val="pt-BR"/>
        </w:rPr>
        <w:t>-</w:t>
      </w:r>
      <w:r w:rsidR="0006699B" w:rsidRPr="007B303D">
        <w:rPr>
          <w:b/>
          <w:sz w:val="28"/>
          <w:szCs w:val="28"/>
          <w:lang w:val="pt-BR"/>
        </w:rPr>
        <w:t xml:space="preserve"> </w:t>
      </w:r>
      <w:r w:rsidR="0006699B" w:rsidRPr="007B303D">
        <w:rPr>
          <w:sz w:val="28"/>
          <w:szCs w:val="28"/>
          <w:lang w:val="pt-BR"/>
        </w:rPr>
        <w:t>Công tác kiểm tra, thanh tra việc chấp hành pháp lu</w:t>
      </w:r>
      <w:r w:rsidR="00C42012" w:rsidRPr="007B303D">
        <w:rPr>
          <w:sz w:val="28"/>
          <w:szCs w:val="28"/>
          <w:lang w:val="pt-BR"/>
        </w:rPr>
        <w:t>ật về giá</w:t>
      </w:r>
      <w:r w:rsidRPr="007B303D">
        <w:rPr>
          <w:sz w:val="28"/>
          <w:szCs w:val="28"/>
          <w:lang w:val="pt-BR"/>
        </w:rPr>
        <w:t xml:space="preserve">: </w:t>
      </w:r>
      <w:r w:rsidR="004763C1" w:rsidRPr="007B303D">
        <w:rPr>
          <w:sz w:val="28"/>
          <w:szCs w:val="28"/>
          <w:lang w:val="pt-BR"/>
        </w:rPr>
        <w:t xml:space="preserve">tiếp tục triển khai thực hiện Quyết định số 1962/QĐ-UBND ngày 31/12/2024 của Ủy ban nhân dân tỉnh Cao Bằng Ban hành Kế hoạch kiểm tra việc chấp hành pháp luật về giá, thẩm định giá trên địa bàn tỉnh Cao Bằng năm 2025; </w:t>
      </w:r>
      <w:r w:rsidR="001A2BF0" w:rsidRPr="007B303D">
        <w:rPr>
          <w:sz w:val="28"/>
          <w:szCs w:val="28"/>
          <w:lang w:val="pt-BR"/>
        </w:rPr>
        <w:t xml:space="preserve">tăng cường các hoạt động kiểm tra, kiểm soát </w:t>
      </w:r>
      <w:r w:rsidR="00AE55FF" w:rsidRPr="007B303D">
        <w:rPr>
          <w:sz w:val="28"/>
          <w:szCs w:val="28"/>
          <w:lang w:val="pt-BR"/>
        </w:rPr>
        <w:t xml:space="preserve">để kịp thời phát hiện, chấn chỉnh, khắc phục các </w:t>
      </w:r>
      <w:r w:rsidR="00AE55FF" w:rsidRPr="007B303D">
        <w:rPr>
          <w:sz w:val="28"/>
          <w:szCs w:val="28"/>
          <w:lang w:val="pt-BR"/>
        </w:rPr>
        <w:lastRenderedPageBreak/>
        <w:t xml:space="preserve">tồn tại, thiếu sót, xử lý nghiêm theo thẩm quyền các trường hợp vi phạm pháp luật về giá </w:t>
      </w:r>
      <w:r w:rsidR="001A2BF0" w:rsidRPr="007B303D">
        <w:rPr>
          <w:sz w:val="28"/>
          <w:szCs w:val="28"/>
          <w:lang w:val="pt-BR"/>
        </w:rPr>
        <w:t>đối với các đơn vị hoạt động sản xuất kinh doa</w:t>
      </w:r>
      <w:r w:rsidR="000158E5" w:rsidRPr="007B303D">
        <w:rPr>
          <w:sz w:val="28"/>
          <w:szCs w:val="28"/>
          <w:lang w:val="pt-BR"/>
        </w:rPr>
        <w:t>nh thương mại trên địa bàn tỉnh</w:t>
      </w:r>
      <w:r w:rsidR="00506A72" w:rsidRPr="007B303D">
        <w:rPr>
          <w:sz w:val="28"/>
          <w:szCs w:val="28"/>
          <w:lang w:val="pt-BR"/>
        </w:rPr>
        <w:t>.</w:t>
      </w:r>
    </w:p>
    <w:p w14:paraId="092A23DF" w14:textId="7B54F49A" w:rsidR="006C3FB9" w:rsidRPr="007B303D" w:rsidRDefault="006C3FB9" w:rsidP="00ED1ACF">
      <w:pPr>
        <w:spacing w:before="120" w:after="120"/>
        <w:ind w:firstLine="709"/>
        <w:jc w:val="both"/>
        <w:rPr>
          <w:b/>
          <w:sz w:val="28"/>
          <w:szCs w:val="28"/>
          <w:lang w:val="pt-BR"/>
        </w:rPr>
      </w:pPr>
      <w:r w:rsidRPr="007B303D">
        <w:rPr>
          <w:b/>
          <w:sz w:val="28"/>
          <w:szCs w:val="28"/>
          <w:lang w:val="pt-BR"/>
        </w:rPr>
        <w:t>IV. DỰ BÁO GIÁ THỊ TRƯỜNG</w:t>
      </w:r>
      <w:r w:rsidR="00B01984" w:rsidRPr="007B303D">
        <w:rPr>
          <w:b/>
          <w:sz w:val="28"/>
          <w:szCs w:val="28"/>
          <w:lang w:val="pt-BR"/>
        </w:rPr>
        <w:t xml:space="preserve"> </w:t>
      </w:r>
      <w:r w:rsidR="00A63B1B">
        <w:rPr>
          <w:b/>
          <w:sz w:val="28"/>
          <w:szCs w:val="28"/>
          <w:lang w:val="pt-BR"/>
        </w:rPr>
        <w:t>THÁNG 7</w:t>
      </w:r>
      <w:r w:rsidR="00B02A6B" w:rsidRPr="007B303D">
        <w:rPr>
          <w:b/>
          <w:sz w:val="28"/>
          <w:szCs w:val="28"/>
          <w:lang w:val="pt-BR"/>
        </w:rPr>
        <w:t xml:space="preserve"> NĂM </w:t>
      </w:r>
      <w:r w:rsidR="00244398" w:rsidRPr="007B303D">
        <w:rPr>
          <w:b/>
          <w:sz w:val="28"/>
          <w:szCs w:val="28"/>
          <w:lang w:val="pt-BR"/>
        </w:rPr>
        <w:t>2025</w:t>
      </w:r>
    </w:p>
    <w:p w14:paraId="7934BE2F" w14:textId="77777777" w:rsidR="002E2915" w:rsidRPr="007B303D" w:rsidRDefault="002E2915" w:rsidP="00ED1ACF">
      <w:pPr>
        <w:pStyle w:val="BodyTextIndent"/>
        <w:tabs>
          <w:tab w:val="left" w:pos="993"/>
        </w:tabs>
        <w:spacing w:before="120" w:after="120"/>
        <w:ind w:firstLine="709"/>
        <w:rPr>
          <w:color w:val="auto"/>
          <w:spacing w:val="-2"/>
          <w:sz w:val="28"/>
        </w:rPr>
      </w:pPr>
      <w:r w:rsidRPr="007B303D">
        <w:rPr>
          <w:color w:val="auto"/>
          <w:spacing w:val="-2"/>
          <w:sz w:val="28"/>
          <w:lang w:val="pt-BR"/>
        </w:rPr>
        <w:t>- Dự báo mặt</w:t>
      </w:r>
      <w:r w:rsidRPr="007B303D">
        <w:rPr>
          <w:color w:val="auto"/>
          <w:spacing w:val="-2"/>
          <w:sz w:val="28"/>
        </w:rPr>
        <w:t xml:space="preserve"> hàng thay đổi theo thị trường thế giới: xăng dầu, vàng, đô la.</w:t>
      </w:r>
    </w:p>
    <w:p w14:paraId="7770FF24" w14:textId="76EA54C4" w:rsidR="002E2915" w:rsidRPr="007B303D" w:rsidRDefault="002E2915" w:rsidP="00ED1ACF">
      <w:pPr>
        <w:pStyle w:val="BodyTextIndent"/>
        <w:tabs>
          <w:tab w:val="left" w:pos="993"/>
        </w:tabs>
        <w:spacing w:before="120" w:after="120"/>
        <w:ind w:firstLine="709"/>
        <w:rPr>
          <w:color w:val="auto"/>
          <w:sz w:val="28"/>
        </w:rPr>
      </w:pPr>
      <w:r w:rsidRPr="007B303D">
        <w:rPr>
          <w:color w:val="auto"/>
          <w:sz w:val="28"/>
        </w:rPr>
        <w:t xml:space="preserve">- Mặt hàng có xu hướng tăng nhẹ: lương thực, thực phẩm, hàng tiêu dùng, </w:t>
      </w:r>
      <w:r w:rsidR="00A11E0E" w:rsidRPr="007B303D">
        <w:rPr>
          <w:color w:val="auto"/>
          <w:sz w:val="28"/>
        </w:rPr>
        <w:t>văn hóa, giải trí và du lịch...</w:t>
      </w:r>
      <w:r w:rsidRPr="007B303D">
        <w:rPr>
          <w:color w:val="auto"/>
          <w:sz w:val="28"/>
        </w:rPr>
        <w:t>.</w:t>
      </w:r>
    </w:p>
    <w:p w14:paraId="44F901D6" w14:textId="4BF87972" w:rsidR="002E2915" w:rsidRPr="007B303D" w:rsidRDefault="002E2915" w:rsidP="00ED1ACF">
      <w:pPr>
        <w:pStyle w:val="BodyTextIndent"/>
        <w:tabs>
          <w:tab w:val="left" w:pos="993"/>
        </w:tabs>
        <w:spacing w:before="120" w:after="120"/>
        <w:ind w:firstLine="709"/>
        <w:rPr>
          <w:color w:val="auto"/>
          <w:sz w:val="28"/>
        </w:rPr>
      </w:pPr>
      <w:r w:rsidRPr="007B303D">
        <w:rPr>
          <w:color w:val="auto"/>
          <w:sz w:val="28"/>
        </w:rPr>
        <w:t xml:space="preserve">- Mặt hàng có xu hướng </w:t>
      </w:r>
      <w:r w:rsidR="005050B0" w:rsidRPr="007B303D">
        <w:rPr>
          <w:color w:val="auto"/>
          <w:sz w:val="28"/>
        </w:rPr>
        <w:t>ổn định</w:t>
      </w:r>
      <w:r w:rsidRPr="007B303D">
        <w:rPr>
          <w:color w:val="auto"/>
          <w:sz w:val="28"/>
        </w:rPr>
        <w:t xml:space="preserve">: </w:t>
      </w:r>
      <w:r w:rsidR="00C56780" w:rsidRPr="007B303D">
        <w:rPr>
          <w:color w:val="auto"/>
          <w:sz w:val="28"/>
        </w:rPr>
        <w:t>y tế, thức ăn chăn nuôi, giáo dục,...</w:t>
      </w:r>
    </w:p>
    <w:p w14:paraId="60C52153" w14:textId="6B1D25A3" w:rsidR="006C3FB9" w:rsidRPr="007B303D" w:rsidRDefault="00385059" w:rsidP="00ED1ACF">
      <w:pPr>
        <w:pStyle w:val="BodyTextIndent"/>
        <w:tabs>
          <w:tab w:val="left" w:pos="993"/>
        </w:tabs>
        <w:spacing w:before="120" w:after="120"/>
        <w:ind w:firstLine="709"/>
        <w:rPr>
          <w:b/>
          <w:color w:val="auto"/>
          <w:sz w:val="28"/>
          <w:lang w:val="pt-BR"/>
        </w:rPr>
      </w:pPr>
      <w:r w:rsidRPr="007B303D">
        <w:rPr>
          <w:b/>
          <w:color w:val="auto"/>
          <w:sz w:val="28"/>
        </w:rPr>
        <w:t>V.</w:t>
      </w:r>
      <w:r w:rsidR="006C3FB9" w:rsidRPr="007B303D">
        <w:rPr>
          <w:b/>
          <w:color w:val="auto"/>
          <w:sz w:val="28"/>
          <w:lang w:val="pt-BR"/>
        </w:rPr>
        <w:t xml:space="preserve"> BIỆN PHÁP QUẢN LÝ, ĐIỀU TIẾT GIÁ</w:t>
      </w:r>
      <w:r w:rsidR="00925326" w:rsidRPr="007B303D">
        <w:rPr>
          <w:b/>
          <w:color w:val="auto"/>
          <w:sz w:val="28"/>
          <w:lang w:val="pt-BR"/>
        </w:rPr>
        <w:t xml:space="preserve"> </w:t>
      </w:r>
      <w:r w:rsidR="00A63B1B">
        <w:rPr>
          <w:b/>
          <w:color w:val="auto"/>
          <w:sz w:val="28"/>
          <w:lang w:val="pt-BR"/>
        </w:rPr>
        <w:t>THÁNG 7</w:t>
      </w:r>
      <w:r w:rsidR="00B80BAC" w:rsidRPr="007B303D">
        <w:rPr>
          <w:b/>
          <w:color w:val="auto"/>
          <w:sz w:val="28"/>
          <w:lang w:val="pt-BR"/>
        </w:rPr>
        <w:t xml:space="preserve"> NĂM </w:t>
      </w:r>
      <w:r w:rsidR="00244398" w:rsidRPr="007B303D">
        <w:rPr>
          <w:b/>
          <w:color w:val="auto"/>
          <w:sz w:val="28"/>
          <w:lang w:val="pt-BR"/>
        </w:rPr>
        <w:t>2025</w:t>
      </w:r>
    </w:p>
    <w:p w14:paraId="5A41EE94" w14:textId="77590577" w:rsidR="00B02087" w:rsidRPr="007B303D" w:rsidRDefault="00DA4F1C" w:rsidP="00ED1ACF">
      <w:pPr>
        <w:spacing w:before="120" w:after="120"/>
        <w:ind w:firstLine="709"/>
        <w:jc w:val="both"/>
        <w:rPr>
          <w:spacing w:val="-2"/>
          <w:sz w:val="28"/>
          <w:szCs w:val="28"/>
        </w:rPr>
      </w:pPr>
      <w:r w:rsidRPr="007B303D">
        <w:rPr>
          <w:spacing w:val="-2"/>
          <w:sz w:val="28"/>
          <w:szCs w:val="28"/>
          <w:lang w:val="nl-NL"/>
        </w:rPr>
        <w:t xml:space="preserve">- </w:t>
      </w:r>
      <w:r w:rsidR="00EE3A84" w:rsidRPr="007B303D">
        <w:rPr>
          <w:spacing w:val="-2"/>
          <w:sz w:val="28"/>
          <w:szCs w:val="28"/>
          <w:lang w:val="nl-NL"/>
        </w:rPr>
        <w:t xml:space="preserve">Tiếp tục giám sát chặt chẽ biến động giá cả thị trường, </w:t>
      </w:r>
      <w:r w:rsidR="00F960DE" w:rsidRPr="007B303D">
        <w:rPr>
          <w:spacing w:val="-2"/>
          <w:sz w:val="28"/>
          <w:szCs w:val="28"/>
          <w:lang w:val="nl-NL"/>
        </w:rPr>
        <w:t xml:space="preserve">đặc biệt là </w:t>
      </w:r>
      <w:r w:rsidR="00B02087" w:rsidRPr="007B303D">
        <w:rPr>
          <w:spacing w:val="-2"/>
          <w:sz w:val="28"/>
          <w:szCs w:val="28"/>
        </w:rPr>
        <w:t>các mặt hàng lương thực, thực phẩm thiết yếu của người dân; giám sát thị trường hàng hóa tại các chợ đầu mối, trung tâm mua sắm, siêu thị không để xảy ra tình trạng đầu cơ nâng giá, xử lý nghiêm các hành vi lợi dụng tình trạng khẩn cấp, sự cố, thảm họa, thiên tai, dịch bệnh để tăng giá bán hàng hóa, dịch vụ bất hợp lý nhằm trục lợi; tổ chức thực hiện nghiêm túc, hiệu quả công tác tổng hợp, phân tích, dự báo giá thị trường và báo cáo giá thị trường trên địa bàn theo đúng quy định.</w:t>
      </w:r>
    </w:p>
    <w:p w14:paraId="2E6A8819" w14:textId="77777777" w:rsidR="00AA238F" w:rsidRPr="007B303D" w:rsidRDefault="00DA4F1C" w:rsidP="00ED1ACF">
      <w:pPr>
        <w:spacing w:before="120" w:after="120"/>
        <w:ind w:firstLine="709"/>
        <w:jc w:val="both"/>
        <w:rPr>
          <w:sz w:val="28"/>
          <w:szCs w:val="28"/>
          <w:lang w:val="nl-NL"/>
        </w:rPr>
      </w:pPr>
      <w:r w:rsidRPr="007B303D">
        <w:rPr>
          <w:sz w:val="28"/>
          <w:szCs w:val="28"/>
          <w:lang w:val="nl-NL"/>
        </w:rPr>
        <w:t xml:space="preserve">- </w:t>
      </w:r>
      <w:r w:rsidR="00145249" w:rsidRPr="007B303D">
        <w:rPr>
          <w:sz w:val="28"/>
          <w:szCs w:val="28"/>
          <w:lang w:val="nl-NL"/>
        </w:rPr>
        <w:t>T</w:t>
      </w:r>
      <w:r w:rsidR="00AA238F" w:rsidRPr="007B303D">
        <w:rPr>
          <w:sz w:val="28"/>
          <w:szCs w:val="28"/>
          <w:lang w:val="nl-NL"/>
        </w:rPr>
        <w:t>ăng cường triển khai hiệu quả và giám sát thực hiện các biện pháp kê khai giá, niêm yết giá; công khai thông tin về giá; tổ chức thanh tra, kiểm tra việc chấp hành pháp luật về giá, kịp thời phát hiện, chấn chỉnh, khắc phục những điểm còn hạn chế, bất cập, xử lý nghiêm các hành vi vi phạm.</w:t>
      </w:r>
    </w:p>
    <w:p w14:paraId="13CC7C84" w14:textId="77777777" w:rsidR="00A2261F" w:rsidRPr="007B303D" w:rsidRDefault="00982A2C" w:rsidP="00ED1ACF">
      <w:pPr>
        <w:spacing w:before="120" w:after="120"/>
        <w:ind w:firstLine="709"/>
        <w:jc w:val="both"/>
        <w:rPr>
          <w:sz w:val="28"/>
          <w:szCs w:val="28"/>
        </w:rPr>
      </w:pPr>
      <w:r w:rsidRPr="007B303D">
        <w:rPr>
          <w:spacing w:val="-2"/>
          <w:sz w:val="28"/>
          <w:szCs w:val="28"/>
        </w:rPr>
        <w:t>- Đẩy mạnh công tác thông tin, tuyên truyền, đảm bảo kịp thời, minh bạch thông tin về giá, nhất là diễn biến giá các vật tư quan trọng, các mặt hàng thiết yếu liên quan đến sản xuất và đời sống người dân để hạn chế gia tăng lạm phát kỳ vọng, ổn định tâm lý người tiêu dùng</w:t>
      </w:r>
      <w:r w:rsidR="00A2261F" w:rsidRPr="007B303D">
        <w:rPr>
          <w:sz w:val="28"/>
          <w:szCs w:val="28"/>
        </w:rPr>
        <w:t>.</w:t>
      </w:r>
    </w:p>
    <w:p w14:paraId="72538343" w14:textId="5CB4966B" w:rsidR="0052028D" w:rsidRPr="007B303D" w:rsidRDefault="0052028D" w:rsidP="00ED1ACF">
      <w:pPr>
        <w:spacing w:before="120" w:after="120"/>
        <w:ind w:firstLine="709"/>
        <w:jc w:val="both"/>
        <w:rPr>
          <w:sz w:val="28"/>
          <w:szCs w:val="28"/>
        </w:rPr>
      </w:pPr>
      <w:r w:rsidRPr="007B303D">
        <w:rPr>
          <w:sz w:val="28"/>
          <w:szCs w:val="28"/>
        </w:rPr>
        <w:t xml:space="preserve">Trên đây là </w:t>
      </w:r>
      <w:r w:rsidR="005E0D51" w:rsidRPr="007B303D">
        <w:rPr>
          <w:sz w:val="28"/>
          <w:szCs w:val="28"/>
        </w:rPr>
        <w:t>B</w:t>
      </w:r>
      <w:r w:rsidR="00D803D3" w:rsidRPr="007B303D">
        <w:rPr>
          <w:sz w:val="28"/>
          <w:szCs w:val="28"/>
        </w:rPr>
        <w:t xml:space="preserve">áo cáo giá thị trường </w:t>
      </w:r>
      <w:r w:rsidR="00A63B1B">
        <w:rPr>
          <w:sz w:val="28"/>
          <w:szCs w:val="28"/>
        </w:rPr>
        <w:t>tháng 6</w:t>
      </w:r>
      <w:r w:rsidR="00766AE2">
        <w:rPr>
          <w:sz w:val="28"/>
          <w:szCs w:val="28"/>
        </w:rPr>
        <w:t>, quý II, 06 tháng đầu</w:t>
      </w:r>
      <w:r w:rsidR="00C22FAC" w:rsidRPr="007B303D">
        <w:rPr>
          <w:sz w:val="28"/>
          <w:szCs w:val="28"/>
        </w:rPr>
        <w:t xml:space="preserve"> </w:t>
      </w:r>
      <w:r w:rsidR="00224382" w:rsidRPr="007B303D">
        <w:rPr>
          <w:sz w:val="28"/>
          <w:szCs w:val="28"/>
        </w:rPr>
        <w:t xml:space="preserve">năm </w:t>
      </w:r>
      <w:r w:rsidR="00244398" w:rsidRPr="007B303D">
        <w:rPr>
          <w:sz w:val="28"/>
          <w:szCs w:val="28"/>
        </w:rPr>
        <w:t>2025</w:t>
      </w:r>
      <w:r w:rsidR="005B681D" w:rsidRPr="007B303D">
        <w:rPr>
          <w:sz w:val="28"/>
          <w:szCs w:val="28"/>
        </w:rPr>
        <w:t xml:space="preserve"> </w:t>
      </w:r>
      <w:r w:rsidR="00D803D3" w:rsidRPr="007B303D">
        <w:rPr>
          <w:sz w:val="28"/>
          <w:szCs w:val="28"/>
        </w:rPr>
        <w:t>trên địa bàn tỉnh</w:t>
      </w:r>
      <w:r w:rsidR="00197A36" w:rsidRPr="007B303D">
        <w:rPr>
          <w:sz w:val="28"/>
          <w:szCs w:val="28"/>
        </w:rPr>
        <w:t xml:space="preserve"> Cao Bằng</w:t>
      </w:r>
      <w:r w:rsidR="00B02B71" w:rsidRPr="007B303D">
        <w:rPr>
          <w:sz w:val="28"/>
          <w:szCs w:val="28"/>
        </w:rPr>
        <w:t xml:space="preserve">, UBND tỉnh </w:t>
      </w:r>
      <w:r w:rsidR="00957598" w:rsidRPr="007B303D">
        <w:rPr>
          <w:sz w:val="28"/>
          <w:szCs w:val="28"/>
        </w:rPr>
        <w:t xml:space="preserve">Cao Bằng </w:t>
      </w:r>
      <w:r w:rsidR="00B02B71" w:rsidRPr="007B303D">
        <w:rPr>
          <w:sz w:val="28"/>
          <w:szCs w:val="28"/>
        </w:rPr>
        <w:t xml:space="preserve">báo cáo </w:t>
      </w:r>
      <w:r w:rsidRPr="007B303D">
        <w:rPr>
          <w:sz w:val="28"/>
          <w:szCs w:val="28"/>
        </w:rPr>
        <w:t xml:space="preserve">Bộ Tài chính </w:t>
      </w:r>
      <w:r w:rsidR="00B02B71" w:rsidRPr="007B303D">
        <w:rPr>
          <w:sz w:val="28"/>
          <w:szCs w:val="28"/>
        </w:rPr>
        <w:t>xem xét</w:t>
      </w:r>
      <w:r w:rsidR="00957598" w:rsidRPr="007B303D">
        <w:rPr>
          <w:sz w:val="28"/>
          <w:szCs w:val="28"/>
        </w:rPr>
        <w:t>,</w:t>
      </w:r>
      <w:r w:rsidR="00B02B71" w:rsidRPr="007B303D">
        <w:rPr>
          <w:sz w:val="28"/>
          <w:szCs w:val="28"/>
        </w:rPr>
        <w:t xml:space="preserve"> tổng hợp</w:t>
      </w:r>
      <w:r w:rsidRPr="007B303D">
        <w:rPr>
          <w:sz w:val="28"/>
          <w:szCs w:val="28"/>
        </w:rPr>
        <w:t>./.</w:t>
      </w:r>
    </w:p>
    <w:p w14:paraId="08DFA405" w14:textId="77777777" w:rsidR="00935660" w:rsidRPr="0076263F" w:rsidRDefault="00935660" w:rsidP="00497724">
      <w:pPr>
        <w:pStyle w:val="BodyTextIndent"/>
        <w:tabs>
          <w:tab w:val="left" w:pos="993"/>
        </w:tabs>
        <w:ind w:firstLine="567"/>
        <w:rPr>
          <w:color w:val="auto"/>
          <w:sz w:val="24"/>
        </w:rPr>
      </w:pPr>
    </w:p>
    <w:tbl>
      <w:tblPr>
        <w:tblW w:w="9322" w:type="dxa"/>
        <w:tblLook w:val="01E0" w:firstRow="1" w:lastRow="1" w:firstColumn="1" w:lastColumn="1" w:noHBand="0" w:noVBand="0"/>
      </w:tblPr>
      <w:tblGrid>
        <w:gridCol w:w="4868"/>
        <w:gridCol w:w="4454"/>
      </w:tblGrid>
      <w:tr w:rsidR="00935660" w:rsidRPr="009623FF" w14:paraId="4675BEA4" w14:textId="77777777" w:rsidTr="00BF07A8">
        <w:tc>
          <w:tcPr>
            <w:tcW w:w="4868" w:type="dxa"/>
          </w:tcPr>
          <w:p w14:paraId="06A3FEE7" w14:textId="77777777" w:rsidR="00935660" w:rsidRPr="00E94CDF" w:rsidRDefault="00935660" w:rsidP="00284BD5">
            <w:pPr>
              <w:rPr>
                <w:b/>
                <w:i/>
                <w:sz w:val="24"/>
              </w:rPr>
            </w:pPr>
            <w:r w:rsidRPr="00E94CDF">
              <w:rPr>
                <w:b/>
                <w:i/>
                <w:sz w:val="24"/>
              </w:rPr>
              <w:t>Nơi nhận:</w:t>
            </w:r>
          </w:p>
          <w:p w14:paraId="5C76A867" w14:textId="77777777" w:rsidR="00935660" w:rsidRPr="0063092F" w:rsidRDefault="00935660" w:rsidP="00284BD5">
            <w:pPr>
              <w:rPr>
                <w:sz w:val="22"/>
              </w:rPr>
            </w:pPr>
            <w:r w:rsidRPr="0063092F">
              <w:rPr>
                <w:sz w:val="22"/>
                <w:szCs w:val="22"/>
              </w:rPr>
              <w:t>- Như trên;</w:t>
            </w:r>
          </w:p>
          <w:p w14:paraId="4F275201" w14:textId="77777777" w:rsidR="00935660" w:rsidRPr="0063092F" w:rsidRDefault="00935660" w:rsidP="00284BD5">
            <w:pPr>
              <w:rPr>
                <w:sz w:val="22"/>
              </w:rPr>
            </w:pPr>
            <w:r w:rsidRPr="0063092F">
              <w:rPr>
                <w:sz w:val="22"/>
                <w:szCs w:val="22"/>
              </w:rPr>
              <w:t xml:space="preserve">- Chủ tịch, các PCT UBND tỉnh </w:t>
            </w:r>
            <w:r w:rsidRPr="0063092F">
              <w:rPr>
                <w:i/>
                <w:sz w:val="22"/>
                <w:szCs w:val="22"/>
              </w:rPr>
              <w:t>(b/c)</w:t>
            </w:r>
            <w:r w:rsidRPr="0063092F">
              <w:rPr>
                <w:sz w:val="22"/>
                <w:szCs w:val="22"/>
              </w:rPr>
              <w:t xml:space="preserve">;   </w:t>
            </w:r>
          </w:p>
          <w:p w14:paraId="3281E15B" w14:textId="77777777" w:rsidR="00935660" w:rsidRPr="0063092F" w:rsidRDefault="00935660" w:rsidP="00284BD5">
            <w:pPr>
              <w:rPr>
                <w:sz w:val="22"/>
              </w:rPr>
            </w:pPr>
            <w:r w:rsidRPr="0063092F">
              <w:rPr>
                <w:sz w:val="22"/>
                <w:szCs w:val="22"/>
              </w:rPr>
              <w:t>- Sở Tài chính;</w:t>
            </w:r>
          </w:p>
          <w:p w14:paraId="3BAF369A" w14:textId="70C0C160" w:rsidR="009C11AA" w:rsidRPr="0063092F" w:rsidRDefault="009C11AA" w:rsidP="00284BD5">
            <w:pPr>
              <w:rPr>
                <w:sz w:val="22"/>
              </w:rPr>
            </w:pPr>
            <w:r w:rsidRPr="0063092F">
              <w:rPr>
                <w:sz w:val="22"/>
                <w:szCs w:val="22"/>
              </w:rPr>
              <w:t xml:space="preserve">- UBND các </w:t>
            </w:r>
            <w:r w:rsidR="00B657E4">
              <w:rPr>
                <w:sz w:val="22"/>
                <w:szCs w:val="22"/>
              </w:rPr>
              <w:t>xã, phường</w:t>
            </w:r>
            <w:r w:rsidRPr="0063092F">
              <w:rPr>
                <w:sz w:val="22"/>
                <w:szCs w:val="22"/>
              </w:rPr>
              <w:t>;</w:t>
            </w:r>
          </w:p>
          <w:p w14:paraId="4BCE83EB" w14:textId="77777777" w:rsidR="00935660" w:rsidRPr="0063092F" w:rsidRDefault="00935660" w:rsidP="00284BD5">
            <w:pPr>
              <w:rPr>
                <w:sz w:val="22"/>
              </w:rPr>
            </w:pPr>
            <w:r w:rsidRPr="0063092F">
              <w:rPr>
                <w:sz w:val="22"/>
                <w:szCs w:val="22"/>
              </w:rPr>
              <w:t>- VP UBND tỉnh: LĐVP; CVTH;</w:t>
            </w:r>
          </w:p>
          <w:p w14:paraId="4CA79D45" w14:textId="1A912B18" w:rsidR="00935660" w:rsidRPr="00E94CDF" w:rsidRDefault="00B657E4" w:rsidP="00B657E4">
            <w:r>
              <w:rPr>
                <w:sz w:val="22"/>
                <w:szCs w:val="22"/>
              </w:rPr>
              <w:t>- Lưu: VT, TH</w:t>
            </w:r>
            <w:r w:rsidR="00ED1ACF">
              <w:rPr>
                <w:sz w:val="22"/>
                <w:szCs w:val="22"/>
                <w:vertAlign w:val="subscript"/>
              </w:rPr>
              <w:t>(ĐT)</w:t>
            </w:r>
            <w:r w:rsidR="00935660" w:rsidRPr="0063092F">
              <w:rPr>
                <w:sz w:val="22"/>
                <w:szCs w:val="22"/>
              </w:rPr>
              <w:t>.</w:t>
            </w:r>
          </w:p>
        </w:tc>
        <w:tc>
          <w:tcPr>
            <w:tcW w:w="4454" w:type="dxa"/>
          </w:tcPr>
          <w:p w14:paraId="5549442B" w14:textId="6D3DE259" w:rsidR="00935660" w:rsidRPr="0063092F" w:rsidRDefault="007900DF" w:rsidP="00284BD5">
            <w:pPr>
              <w:jc w:val="center"/>
              <w:rPr>
                <w:b/>
                <w:sz w:val="27"/>
                <w:szCs w:val="27"/>
              </w:rPr>
            </w:pPr>
            <w:r>
              <w:rPr>
                <w:b/>
                <w:sz w:val="27"/>
                <w:szCs w:val="27"/>
              </w:rPr>
              <w:t>TL</w:t>
            </w:r>
            <w:r w:rsidR="00935660" w:rsidRPr="0063092F">
              <w:rPr>
                <w:b/>
                <w:sz w:val="27"/>
                <w:szCs w:val="27"/>
              </w:rPr>
              <w:t>. CHỦ TỊCH</w:t>
            </w:r>
          </w:p>
          <w:p w14:paraId="76C9193C" w14:textId="0C3B5CA5" w:rsidR="00935660" w:rsidRPr="0063092F" w:rsidRDefault="007900DF" w:rsidP="00284BD5">
            <w:pPr>
              <w:jc w:val="center"/>
              <w:rPr>
                <w:b/>
                <w:sz w:val="27"/>
                <w:szCs w:val="27"/>
              </w:rPr>
            </w:pPr>
            <w:r>
              <w:rPr>
                <w:b/>
                <w:sz w:val="27"/>
                <w:szCs w:val="27"/>
              </w:rPr>
              <w:t>CHÁNH VĂN PHÒNG</w:t>
            </w:r>
          </w:p>
          <w:p w14:paraId="3BCCF788" w14:textId="77777777" w:rsidR="00935660" w:rsidRDefault="00935660" w:rsidP="00284BD5">
            <w:pPr>
              <w:jc w:val="center"/>
              <w:rPr>
                <w:szCs w:val="26"/>
              </w:rPr>
            </w:pPr>
          </w:p>
          <w:p w14:paraId="4140DF8B" w14:textId="77777777" w:rsidR="003F0746" w:rsidRDefault="003F0746" w:rsidP="00284BD5">
            <w:pPr>
              <w:jc w:val="center"/>
              <w:rPr>
                <w:szCs w:val="26"/>
              </w:rPr>
            </w:pPr>
          </w:p>
          <w:p w14:paraId="70CCA7BE" w14:textId="77777777" w:rsidR="003F0746" w:rsidRDefault="003F0746" w:rsidP="00284BD5">
            <w:pPr>
              <w:jc w:val="center"/>
              <w:rPr>
                <w:szCs w:val="26"/>
              </w:rPr>
            </w:pPr>
          </w:p>
          <w:p w14:paraId="78A00246" w14:textId="77777777" w:rsidR="003F0746" w:rsidRDefault="003F0746" w:rsidP="00284BD5">
            <w:pPr>
              <w:jc w:val="center"/>
              <w:rPr>
                <w:szCs w:val="26"/>
              </w:rPr>
            </w:pPr>
          </w:p>
          <w:p w14:paraId="764C1277" w14:textId="77777777" w:rsidR="003F0746" w:rsidRDefault="003F0746" w:rsidP="00284BD5">
            <w:pPr>
              <w:jc w:val="center"/>
              <w:rPr>
                <w:szCs w:val="26"/>
              </w:rPr>
            </w:pPr>
          </w:p>
          <w:p w14:paraId="5F6D5564" w14:textId="77777777" w:rsidR="003F0746" w:rsidRDefault="003F0746" w:rsidP="00284BD5">
            <w:pPr>
              <w:jc w:val="center"/>
              <w:rPr>
                <w:szCs w:val="26"/>
              </w:rPr>
            </w:pPr>
          </w:p>
          <w:p w14:paraId="5941A577" w14:textId="5D1E90A5" w:rsidR="003F0746" w:rsidRPr="003F0746" w:rsidRDefault="003F0746" w:rsidP="00284BD5">
            <w:pPr>
              <w:jc w:val="center"/>
              <w:rPr>
                <w:b/>
                <w:szCs w:val="26"/>
              </w:rPr>
            </w:pPr>
            <w:r w:rsidRPr="003F0746">
              <w:rPr>
                <w:b/>
                <w:sz w:val="28"/>
                <w:szCs w:val="26"/>
              </w:rPr>
              <w:t>Dương Hùng Dũng</w:t>
            </w:r>
          </w:p>
        </w:tc>
      </w:tr>
    </w:tbl>
    <w:p w14:paraId="2E1F6F73" w14:textId="77777777" w:rsidR="00935660" w:rsidRPr="000C3C2C" w:rsidRDefault="00935660" w:rsidP="000C3C2C">
      <w:pPr>
        <w:rPr>
          <w:sz w:val="2"/>
        </w:rPr>
      </w:pPr>
    </w:p>
    <w:sectPr w:rsidR="00935660" w:rsidRPr="000C3C2C" w:rsidSect="00ED1ACF">
      <w:headerReference w:type="default" r:id="rId12"/>
      <w:pgSz w:w="11907" w:h="16840" w:code="9"/>
      <w:pgMar w:top="1134" w:right="1134" w:bottom="1134" w:left="1701" w:header="62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7B6B0" w14:textId="77777777" w:rsidR="007B3F5E" w:rsidRDefault="007B3F5E" w:rsidP="0052028D">
      <w:r>
        <w:separator/>
      </w:r>
    </w:p>
    <w:p w14:paraId="66387D50" w14:textId="77777777" w:rsidR="007B3F5E" w:rsidRDefault="007B3F5E"/>
  </w:endnote>
  <w:endnote w:type="continuationSeparator" w:id="0">
    <w:p w14:paraId="61259E57" w14:textId="77777777" w:rsidR="007B3F5E" w:rsidRDefault="007B3F5E" w:rsidP="0052028D">
      <w:r>
        <w:continuationSeparator/>
      </w:r>
    </w:p>
    <w:p w14:paraId="7B386012" w14:textId="77777777" w:rsidR="007B3F5E" w:rsidRDefault="007B3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VNTim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A6256" w14:textId="77777777" w:rsidR="007B3F5E" w:rsidRDefault="007B3F5E" w:rsidP="0052028D">
      <w:r>
        <w:separator/>
      </w:r>
    </w:p>
    <w:p w14:paraId="6C1B555B" w14:textId="77777777" w:rsidR="007B3F5E" w:rsidRDefault="007B3F5E"/>
  </w:footnote>
  <w:footnote w:type="continuationSeparator" w:id="0">
    <w:p w14:paraId="5FEDE9F3" w14:textId="77777777" w:rsidR="007B3F5E" w:rsidRDefault="007B3F5E" w:rsidP="0052028D">
      <w:r>
        <w:continuationSeparator/>
      </w:r>
    </w:p>
    <w:p w14:paraId="4535024B" w14:textId="77777777" w:rsidR="007B3F5E" w:rsidRDefault="007B3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377704"/>
      <w:docPartObj>
        <w:docPartGallery w:val="Page Numbers (Top of Page)"/>
        <w:docPartUnique/>
      </w:docPartObj>
    </w:sdtPr>
    <w:sdtEndPr>
      <w:rPr>
        <w:noProof/>
        <w:szCs w:val="26"/>
      </w:rPr>
    </w:sdtEndPr>
    <w:sdtContent>
      <w:p w14:paraId="122B03B9" w14:textId="7F0A1BA6" w:rsidR="00A36312" w:rsidRPr="00534138" w:rsidRDefault="00CC1F19" w:rsidP="00CC1F19">
        <w:pPr>
          <w:pStyle w:val="Header"/>
          <w:tabs>
            <w:tab w:val="left" w:pos="3931"/>
            <w:tab w:val="center" w:pos="4536"/>
          </w:tabs>
          <w:rPr>
            <w:szCs w:val="26"/>
          </w:rPr>
        </w:pPr>
        <w:r>
          <w:tab/>
        </w:r>
        <w:r>
          <w:tab/>
        </w:r>
        <w:r w:rsidR="00A36312" w:rsidRPr="00534138">
          <w:rPr>
            <w:szCs w:val="26"/>
          </w:rPr>
          <w:fldChar w:fldCharType="begin"/>
        </w:r>
        <w:r w:rsidR="00A36312" w:rsidRPr="00534138">
          <w:rPr>
            <w:szCs w:val="26"/>
          </w:rPr>
          <w:instrText xml:space="preserve"> PAGE   \* MERGEFORMAT </w:instrText>
        </w:r>
        <w:r w:rsidR="00A36312" w:rsidRPr="00534138">
          <w:rPr>
            <w:szCs w:val="26"/>
          </w:rPr>
          <w:fldChar w:fldCharType="separate"/>
        </w:r>
        <w:r w:rsidR="00484514">
          <w:rPr>
            <w:noProof/>
            <w:szCs w:val="26"/>
          </w:rPr>
          <w:t>6</w:t>
        </w:r>
        <w:r w:rsidR="00A36312" w:rsidRPr="00534138">
          <w:rPr>
            <w:noProof/>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570"/>
    <w:multiLevelType w:val="multilevel"/>
    <w:tmpl w:val="9EB02C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D42393"/>
    <w:multiLevelType w:val="hybridMultilevel"/>
    <w:tmpl w:val="923A2B30"/>
    <w:lvl w:ilvl="0" w:tplc="48A6723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CF71F64"/>
    <w:multiLevelType w:val="multilevel"/>
    <w:tmpl w:val="028C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73EEB"/>
    <w:multiLevelType w:val="multilevel"/>
    <w:tmpl w:val="FDD222F8"/>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82C08C3"/>
    <w:multiLevelType w:val="hybridMultilevel"/>
    <w:tmpl w:val="CD4A25DA"/>
    <w:lvl w:ilvl="0" w:tplc="D40C7626">
      <w:start w:val="2"/>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AF43B9A"/>
    <w:multiLevelType w:val="hybridMultilevel"/>
    <w:tmpl w:val="B4D24C7E"/>
    <w:lvl w:ilvl="0" w:tplc="69BCB5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B1D6C3F"/>
    <w:multiLevelType w:val="hybridMultilevel"/>
    <w:tmpl w:val="C6A2AA14"/>
    <w:lvl w:ilvl="0" w:tplc="0D7818C0">
      <w:start w:val="1"/>
      <w:numFmt w:val="lowerRoman"/>
      <w:suff w:val="space"/>
      <w:lvlText w:val="%1)"/>
      <w:lvlJc w:val="left"/>
      <w:pPr>
        <w:ind w:left="1429" w:hanging="72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D306F90"/>
    <w:multiLevelType w:val="multilevel"/>
    <w:tmpl w:val="8C5892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3A40A1"/>
    <w:multiLevelType w:val="multilevel"/>
    <w:tmpl w:val="C570F1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497265"/>
    <w:multiLevelType w:val="hybridMultilevel"/>
    <w:tmpl w:val="D6287A76"/>
    <w:lvl w:ilvl="0" w:tplc="1820EB4C">
      <w:start w:val="1"/>
      <w:numFmt w:val="bullet"/>
      <w:lvlText w:val="+"/>
      <w:lvlJc w:val="left"/>
      <w:pPr>
        <w:ind w:left="720" w:hanging="360"/>
      </w:pPr>
      <w:rPr>
        <w:rFonts w:ascii="SimSun-ExtB" w:eastAsia="SimSun-ExtB" w:hAnsi="SimSun-ExtB" w:hint="eastAsia"/>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89266CF"/>
    <w:multiLevelType w:val="multilevel"/>
    <w:tmpl w:val="AB0A3E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7419F6"/>
    <w:multiLevelType w:val="multilevel"/>
    <w:tmpl w:val="E25A571C"/>
    <w:lvl w:ilvl="0">
      <w:start w:val="1"/>
      <w:numFmt w:val="bullet"/>
      <w:lvlText w:val="-"/>
      <w:lvlJc w:val="left"/>
      <w:rPr>
        <w:rFonts w:ascii="Times New Roman" w:eastAsia="Times New Roman" w:hAnsi="Times New Roman" w:cs="Times New Roman"/>
        <w:b/>
        <w:bCs w:val="0"/>
        <w:i w:val="0"/>
        <w:iCs w:val="0"/>
        <w:smallCaps w:val="0"/>
        <w:strike w:val="0"/>
        <w:color w:val="0F0D1B"/>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E0570C"/>
    <w:multiLevelType w:val="hybridMultilevel"/>
    <w:tmpl w:val="5E9CDA72"/>
    <w:lvl w:ilvl="0" w:tplc="0068D2A4">
      <w:start w:val="1"/>
      <w:numFmt w:val="decimal"/>
      <w:lvlText w:val="%1."/>
      <w:lvlJc w:val="left"/>
      <w:pPr>
        <w:ind w:left="1469" w:hanging="281"/>
      </w:pPr>
      <w:rPr>
        <w:rFonts w:ascii="Times New Roman" w:eastAsia="Times New Roman" w:hAnsi="Times New Roman" w:cs="Times New Roman" w:hint="default"/>
        <w:b/>
        <w:bCs/>
        <w:w w:val="100"/>
        <w:sz w:val="28"/>
        <w:szCs w:val="28"/>
        <w:lang w:eastAsia="en-US" w:bidi="ar-SA"/>
      </w:rPr>
    </w:lvl>
    <w:lvl w:ilvl="1" w:tplc="8788172C">
      <w:numFmt w:val="bullet"/>
      <w:lvlText w:val="•"/>
      <w:lvlJc w:val="left"/>
      <w:pPr>
        <w:ind w:left="2318" w:hanging="281"/>
      </w:pPr>
      <w:rPr>
        <w:rFonts w:hint="default"/>
        <w:lang w:eastAsia="en-US" w:bidi="ar-SA"/>
      </w:rPr>
    </w:lvl>
    <w:lvl w:ilvl="2" w:tplc="46A0E40E">
      <w:numFmt w:val="bullet"/>
      <w:lvlText w:val="•"/>
      <w:lvlJc w:val="left"/>
      <w:pPr>
        <w:ind w:left="3177" w:hanging="281"/>
      </w:pPr>
      <w:rPr>
        <w:rFonts w:hint="default"/>
        <w:lang w:eastAsia="en-US" w:bidi="ar-SA"/>
      </w:rPr>
    </w:lvl>
    <w:lvl w:ilvl="3" w:tplc="6A6E85B0">
      <w:numFmt w:val="bullet"/>
      <w:lvlText w:val="•"/>
      <w:lvlJc w:val="left"/>
      <w:pPr>
        <w:ind w:left="4035" w:hanging="281"/>
      </w:pPr>
      <w:rPr>
        <w:rFonts w:hint="default"/>
        <w:lang w:eastAsia="en-US" w:bidi="ar-SA"/>
      </w:rPr>
    </w:lvl>
    <w:lvl w:ilvl="4" w:tplc="37A8B288">
      <w:numFmt w:val="bullet"/>
      <w:lvlText w:val="•"/>
      <w:lvlJc w:val="left"/>
      <w:pPr>
        <w:ind w:left="4894" w:hanging="281"/>
      </w:pPr>
      <w:rPr>
        <w:rFonts w:hint="default"/>
        <w:lang w:eastAsia="en-US" w:bidi="ar-SA"/>
      </w:rPr>
    </w:lvl>
    <w:lvl w:ilvl="5" w:tplc="A4BE7910">
      <w:numFmt w:val="bullet"/>
      <w:lvlText w:val="•"/>
      <w:lvlJc w:val="left"/>
      <w:pPr>
        <w:ind w:left="5753" w:hanging="281"/>
      </w:pPr>
      <w:rPr>
        <w:rFonts w:hint="default"/>
        <w:lang w:eastAsia="en-US" w:bidi="ar-SA"/>
      </w:rPr>
    </w:lvl>
    <w:lvl w:ilvl="6" w:tplc="C53AD17E">
      <w:numFmt w:val="bullet"/>
      <w:lvlText w:val="•"/>
      <w:lvlJc w:val="left"/>
      <w:pPr>
        <w:ind w:left="6611" w:hanging="281"/>
      </w:pPr>
      <w:rPr>
        <w:rFonts w:hint="default"/>
        <w:lang w:eastAsia="en-US" w:bidi="ar-SA"/>
      </w:rPr>
    </w:lvl>
    <w:lvl w:ilvl="7" w:tplc="4ED222B0">
      <w:numFmt w:val="bullet"/>
      <w:lvlText w:val="•"/>
      <w:lvlJc w:val="left"/>
      <w:pPr>
        <w:ind w:left="7470" w:hanging="281"/>
      </w:pPr>
      <w:rPr>
        <w:rFonts w:hint="default"/>
        <w:lang w:eastAsia="en-US" w:bidi="ar-SA"/>
      </w:rPr>
    </w:lvl>
    <w:lvl w:ilvl="8" w:tplc="2A649260">
      <w:numFmt w:val="bullet"/>
      <w:lvlText w:val="•"/>
      <w:lvlJc w:val="left"/>
      <w:pPr>
        <w:ind w:left="8329" w:hanging="281"/>
      </w:pPr>
      <w:rPr>
        <w:rFonts w:hint="default"/>
        <w:lang w:eastAsia="en-US" w:bidi="ar-SA"/>
      </w:rPr>
    </w:lvl>
  </w:abstractNum>
  <w:abstractNum w:abstractNumId="13">
    <w:nsid w:val="412A2FC0"/>
    <w:multiLevelType w:val="multilevel"/>
    <w:tmpl w:val="4EEE8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B35F72"/>
    <w:multiLevelType w:val="hybridMultilevel"/>
    <w:tmpl w:val="A16C2F8E"/>
    <w:lvl w:ilvl="0" w:tplc="DB6409E6">
      <w:start w:val="1"/>
      <w:numFmt w:val="upperRoman"/>
      <w:lvlText w:val="%1."/>
      <w:lvlJc w:val="left"/>
      <w:pPr>
        <w:ind w:left="1458" w:hanging="132"/>
        <w:jc w:val="right"/>
      </w:pPr>
      <w:rPr>
        <w:rFonts w:ascii="Carlito" w:eastAsia="Carlito" w:hAnsi="Carlito" w:cs="Carlito" w:hint="default"/>
        <w:color w:val="585858"/>
        <w:spacing w:val="-2"/>
        <w:w w:val="100"/>
        <w:sz w:val="18"/>
        <w:szCs w:val="18"/>
        <w:lang w:eastAsia="en-US" w:bidi="ar-SA"/>
      </w:rPr>
    </w:lvl>
    <w:lvl w:ilvl="1" w:tplc="109C6EF6">
      <w:numFmt w:val="bullet"/>
      <w:lvlText w:val="•"/>
      <w:lvlJc w:val="left"/>
      <w:pPr>
        <w:ind w:left="1700" w:hanging="132"/>
      </w:pPr>
      <w:rPr>
        <w:rFonts w:hint="default"/>
        <w:lang w:eastAsia="en-US" w:bidi="ar-SA"/>
      </w:rPr>
    </w:lvl>
    <w:lvl w:ilvl="2" w:tplc="53509270">
      <w:numFmt w:val="bullet"/>
      <w:lvlText w:val="•"/>
      <w:lvlJc w:val="left"/>
      <w:pPr>
        <w:ind w:left="1940" w:hanging="132"/>
      </w:pPr>
      <w:rPr>
        <w:rFonts w:hint="default"/>
        <w:lang w:eastAsia="en-US" w:bidi="ar-SA"/>
      </w:rPr>
    </w:lvl>
    <w:lvl w:ilvl="3" w:tplc="54ACC86E">
      <w:numFmt w:val="bullet"/>
      <w:lvlText w:val="•"/>
      <w:lvlJc w:val="left"/>
      <w:pPr>
        <w:ind w:left="2180" w:hanging="132"/>
      </w:pPr>
      <w:rPr>
        <w:rFonts w:hint="default"/>
        <w:lang w:eastAsia="en-US" w:bidi="ar-SA"/>
      </w:rPr>
    </w:lvl>
    <w:lvl w:ilvl="4" w:tplc="9F6C6F44">
      <w:numFmt w:val="bullet"/>
      <w:lvlText w:val="•"/>
      <w:lvlJc w:val="left"/>
      <w:pPr>
        <w:ind w:left="2421" w:hanging="132"/>
      </w:pPr>
      <w:rPr>
        <w:rFonts w:hint="default"/>
        <w:lang w:eastAsia="en-US" w:bidi="ar-SA"/>
      </w:rPr>
    </w:lvl>
    <w:lvl w:ilvl="5" w:tplc="FD5EB452">
      <w:numFmt w:val="bullet"/>
      <w:lvlText w:val="•"/>
      <w:lvlJc w:val="left"/>
      <w:pPr>
        <w:ind w:left="2661" w:hanging="132"/>
      </w:pPr>
      <w:rPr>
        <w:rFonts w:hint="default"/>
        <w:lang w:eastAsia="en-US" w:bidi="ar-SA"/>
      </w:rPr>
    </w:lvl>
    <w:lvl w:ilvl="6" w:tplc="4B36BAC6">
      <w:numFmt w:val="bullet"/>
      <w:lvlText w:val="•"/>
      <w:lvlJc w:val="left"/>
      <w:pPr>
        <w:ind w:left="2901" w:hanging="132"/>
      </w:pPr>
      <w:rPr>
        <w:rFonts w:hint="default"/>
        <w:lang w:eastAsia="en-US" w:bidi="ar-SA"/>
      </w:rPr>
    </w:lvl>
    <w:lvl w:ilvl="7" w:tplc="B08804E4">
      <w:numFmt w:val="bullet"/>
      <w:lvlText w:val="•"/>
      <w:lvlJc w:val="left"/>
      <w:pPr>
        <w:ind w:left="3141" w:hanging="132"/>
      </w:pPr>
      <w:rPr>
        <w:rFonts w:hint="default"/>
        <w:lang w:eastAsia="en-US" w:bidi="ar-SA"/>
      </w:rPr>
    </w:lvl>
    <w:lvl w:ilvl="8" w:tplc="1CA07916">
      <w:numFmt w:val="bullet"/>
      <w:lvlText w:val="•"/>
      <w:lvlJc w:val="left"/>
      <w:pPr>
        <w:ind w:left="3382" w:hanging="132"/>
      </w:pPr>
      <w:rPr>
        <w:rFonts w:hint="default"/>
        <w:lang w:eastAsia="en-US" w:bidi="ar-SA"/>
      </w:rPr>
    </w:lvl>
  </w:abstractNum>
  <w:abstractNum w:abstractNumId="15">
    <w:nsid w:val="6A091B45"/>
    <w:multiLevelType w:val="hybridMultilevel"/>
    <w:tmpl w:val="C646045E"/>
    <w:lvl w:ilvl="0" w:tplc="C5143B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B8E6DB6"/>
    <w:multiLevelType w:val="multilevel"/>
    <w:tmpl w:val="70B8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6B0262"/>
    <w:multiLevelType w:val="multilevel"/>
    <w:tmpl w:val="47B2D280"/>
    <w:lvl w:ilvl="0">
      <w:start w:val="1"/>
      <w:numFmt w:val="bullet"/>
      <w:lvlText w:val="+"/>
      <w:lvlJc w:val="left"/>
      <w:pPr>
        <w:tabs>
          <w:tab w:val="num" w:pos="720"/>
        </w:tabs>
        <w:ind w:left="720" w:hanging="360"/>
      </w:pPr>
      <w:rPr>
        <w:rFonts w:ascii="SimSun-ExtB" w:eastAsia="SimSun-ExtB" w:hAnsi="SimSun-ExtB"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135FAE"/>
    <w:multiLevelType w:val="multilevel"/>
    <w:tmpl w:val="C054CF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783BDC"/>
    <w:multiLevelType w:val="hybridMultilevel"/>
    <w:tmpl w:val="2D2099EA"/>
    <w:lvl w:ilvl="0" w:tplc="4CE2F178">
      <w:numFmt w:val="bullet"/>
      <w:lvlText w:val="-"/>
      <w:lvlJc w:val="left"/>
      <w:pPr>
        <w:ind w:left="622" w:hanging="360"/>
      </w:pPr>
      <w:rPr>
        <w:rFonts w:ascii="Times New Roman" w:eastAsia="Times New Roman" w:hAnsi="Times New Roman" w:cs="Times New Roman" w:hint="default"/>
        <w:w w:val="100"/>
        <w:sz w:val="28"/>
        <w:szCs w:val="28"/>
        <w:lang w:eastAsia="en-US" w:bidi="ar-SA"/>
      </w:rPr>
    </w:lvl>
    <w:lvl w:ilvl="1" w:tplc="17162C76">
      <w:numFmt w:val="bullet"/>
      <w:lvlText w:val="•"/>
      <w:lvlJc w:val="left"/>
      <w:pPr>
        <w:ind w:left="1562" w:hanging="360"/>
      </w:pPr>
      <w:rPr>
        <w:rFonts w:hint="default"/>
        <w:lang w:eastAsia="en-US" w:bidi="ar-SA"/>
      </w:rPr>
    </w:lvl>
    <w:lvl w:ilvl="2" w:tplc="00F05434">
      <w:numFmt w:val="bullet"/>
      <w:lvlText w:val="•"/>
      <w:lvlJc w:val="left"/>
      <w:pPr>
        <w:ind w:left="2505" w:hanging="360"/>
      </w:pPr>
      <w:rPr>
        <w:rFonts w:hint="default"/>
        <w:lang w:eastAsia="en-US" w:bidi="ar-SA"/>
      </w:rPr>
    </w:lvl>
    <w:lvl w:ilvl="3" w:tplc="B2389DA4">
      <w:numFmt w:val="bullet"/>
      <w:lvlText w:val="•"/>
      <w:lvlJc w:val="left"/>
      <w:pPr>
        <w:ind w:left="3447" w:hanging="360"/>
      </w:pPr>
      <w:rPr>
        <w:rFonts w:hint="default"/>
        <w:lang w:eastAsia="en-US" w:bidi="ar-SA"/>
      </w:rPr>
    </w:lvl>
    <w:lvl w:ilvl="4" w:tplc="31C24376">
      <w:numFmt w:val="bullet"/>
      <w:lvlText w:val="•"/>
      <w:lvlJc w:val="left"/>
      <w:pPr>
        <w:ind w:left="4390" w:hanging="360"/>
      </w:pPr>
      <w:rPr>
        <w:rFonts w:hint="default"/>
        <w:lang w:eastAsia="en-US" w:bidi="ar-SA"/>
      </w:rPr>
    </w:lvl>
    <w:lvl w:ilvl="5" w:tplc="7C9CFA16">
      <w:numFmt w:val="bullet"/>
      <w:lvlText w:val="•"/>
      <w:lvlJc w:val="left"/>
      <w:pPr>
        <w:ind w:left="5333" w:hanging="360"/>
      </w:pPr>
      <w:rPr>
        <w:rFonts w:hint="default"/>
        <w:lang w:eastAsia="en-US" w:bidi="ar-SA"/>
      </w:rPr>
    </w:lvl>
    <w:lvl w:ilvl="6" w:tplc="AB6CF1A0">
      <w:numFmt w:val="bullet"/>
      <w:lvlText w:val="•"/>
      <w:lvlJc w:val="left"/>
      <w:pPr>
        <w:ind w:left="6275" w:hanging="360"/>
      </w:pPr>
      <w:rPr>
        <w:rFonts w:hint="default"/>
        <w:lang w:eastAsia="en-US" w:bidi="ar-SA"/>
      </w:rPr>
    </w:lvl>
    <w:lvl w:ilvl="7" w:tplc="11F0947E">
      <w:numFmt w:val="bullet"/>
      <w:lvlText w:val="•"/>
      <w:lvlJc w:val="left"/>
      <w:pPr>
        <w:ind w:left="7218" w:hanging="360"/>
      </w:pPr>
      <w:rPr>
        <w:rFonts w:hint="default"/>
        <w:lang w:eastAsia="en-US" w:bidi="ar-SA"/>
      </w:rPr>
    </w:lvl>
    <w:lvl w:ilvl="8" w:tplc="25AA5D4A">
      <w:numFmt w:val="bullet"/>
      <w:lvlText w:val="•"/>
      <w:lvlJc w:val="left"/>
      <w:pPr>
        <w:ind w:left="8161" w:hanging="360"/>
      </w:pPr>
      <w:rPr>
        <w:rFonts w:hint="default"/>
        <w:lang w:eastAsia="en-US" w:bidi="ar-SA"/>
      </w:rPr>
    </w:lvl>
  </w:abstractNum>
  <w:abstractNum w:abstractNumId="20">
    <w:nsid w:val="74522D85"/>
    <w:multiLevelType w:val="multilevel"/>
    <w:tmpl w:val="1260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105DD0"/>
    <w:multiLevelType w:val="hybridMultilevel"/>
    <w:tmpl w:val="91F60908"/>
    <w:lvl w:ilvl="0" w:tplc="60783A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CAE78B7"/>
    <w:multiLevelType w:val="multilevel"/>
    <w:tmpl w:val="8C8A0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BE2F15"/>
    <w:multiLevelType w:val="multilevel"/>
    <w:tmpl w:val="D1C61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8"/>
  </w:num>
  <w:num w:numId="3">
    <w:abstractNumId w:val="22"/>
  </w:num>
  <w:num w:numId="4">
    <w:abstractNumId w:val="6"/>
  </w:num>
  <w:num w:numId="5">
    <w:abstractNumId w:val="11"/>
  </w:num>
  <w:num w:numId="6">
    <w:abstractNumId w:val="7"/>
  </w:num>
  <w:num w:numId="7">
    <w:abstractNumId w:val="10"/>
  </w:num>
  <w:num w:numId="8">
    <w:abstractNumId w:val="0"/>
  </w:num>
  <w:num w:numId="9">
    <w:abstractNumId w:val="19"/>
  </w:num>
  <w:num w:numId="10">
    <w:abstractNumId w:val="12"/>
  </w:num>
  <w:num w:numId="11">
    <w:abstractNumId w:val="14"/>
  </w:num>
  <w:num w:numId="12">
    <w:abstractNumId w:val="18"/>
  </w:num>
  <w:num w:numId="13">
    <w:abstractNumId w:val="13"/>
  </w:num>
  <w:num w:numId="14">
    <w:abstractNumId w:val="4"/>
  </w:num>
  <w:num w:numId="15">
    <w:abstractNumId w:val="9"/>
  </w:num>
  <w:num w:numId="16">
    <w:abstractNumId w:val="1"/>
  </w:num>
  <w:num w:numId="17">
    <w:abstractNumId w:val="5"/>
  </w:num>
  <w:num w:numId="18">
    <w:abstractNumId w:val="21"/>
  </w:num>
  <w:num w:numId="19">
    <w:abstractNumId w:val="15"/>
  </w:num>
  <w:num w:numId="20">
    <w:abstractNumId w:val="3"/>
  </w:num>
  <w:num w:numId="21">
    <w:abstractNumId w:val="2"/>
  </w:num>
  <w:num w:numId="22">
    <w:abstractNumId w:val="16"/>
  </w:num>
  <w:num w:numId="23">
    <w:abstractNumId w:val="2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028D"/>
    <w:rsid w:val="00003E73"/>
    <w:rsid w:val="00004230"/>
    <w:rsid w:val="0000655C"/>
    <w:rsid w:val="00006E47"/>
    <w:rsid w:val="00007EA8"/>
    <w:rsid w:val="0001303F"/>
    <w:rsid w:val="00013791"/>
    <w:rsid w:val="0001409C"/>
    <w:rsid w:val="00014427"/>
    <w:rsid w:val="00014505"/>
    <w:rsid w:val="00014EC4"/>
    <w:rsid w:val="000158E5"/>
    <w:rsid w:val="00015B02"/>
    <w:rsid w:val="00021E4E"/>
    <w:rsid w:val="00024073"/>
    <w:rsid w:val="000247B3"/>
    <w:rsid w:val="00024C24"/>
    <w:rsid w:val="00026B67"/>
    <w:rsid w:val="00027481"/>
    <w:rsid w:val="0002756F"/>
    <w:rsid w:val="00030515"/>
    <w:rsid w:val="0003181C"/>
    <w:rsid w:val="00031EDB"/>
    <w:rsid w:val="00031F1A"/>
    <w:rsid w:val="00032078"/>
    <w:rsid w:val="0003370D"/>
    <w:rsid w:val="00033B4D"/>
    <w:rsid w:val="0003457E"/>
    <w:rsid w:val="00035784"/>
    <w:rsid w:val="000359D0"/>
    <w:rsid w:val="00036A36"/>
    <w:rsid w:val="00036BCA"/>
    <w:rsid w:val="00036BF1"/>
    <w:rsid w:val="0004077B"/>
    <w:rsid w:val="000411DF"/>
    <w:rsid w:val="000420B5"/>
    <w:rsid w:val="000440A0"/>
    <w:rsid w:val="000444FD"/>
    <w:rsid w:val="00044767"/>
    <w:rsid w:val="000454A3"/>
    <w:rsid w:val="000456F5"/>
    <w:rsid w:val="00045E81"/>
    <w:rsid w:val="000462C2"/>
    <w:rsid w:val="000473B1"/>
    <w:rsid w:val="0005024A"/>
    <w:rsid w:val="000508D4"/>
    <w:rsid w:val="00051930"/>
    <w:rsid w:val="000537D0"/>
    <w:rsid w:val="000555FE"/>
    <w:rsid w:val="00056A7C"/>
    <w:rsid w:val="00057392"/>
    <w:rsid w:val="00057F5E"/>
    <w:rsid w:val="00062DB8"/>
    <w:rsid w:val="00063A07"/>
    <w:rsid w:val="00063F9E"/>
    <w:rsid w:val="000645CE"/>
    <w:rsid w:val="00066466"/>
    <w:rsid w:val="000667AF"/>
    <w:rsid w:val="0006699B"/>
    <w:rsid w:val="00066C28"/>
    <w:rsid w:val="000723B3"/>
    <w:rsid w:val="000748DE"/>
    <w:rsid w:val="00076C0A"/>
    <w:rsid w:val="00077087"/>
    <w:rsid w:val="00077B7C"/>
    <w:rsid w:val="0008044E"/>
    <w:rsid w:val="00080FAB"/>
    <w:rsid w:val="000814CE"/>
    <w:rsid w:val="0008193E"/>
    <w:rsid w:val="00081B6C"/>
    <w:rsid w:val="0008245A"/>
    <w:rsid w:val="00082694"/>
    <w:rsid w:val="00082A6A"/>
    <w:rsid w:val="00084EF3"/>
    <w:rsid w:val="000851FD"/>
    <w:rsid w:val="00085D4E"/>
    <w:rsid w:val="000862C0"/>
    <w:rsid w:val="00086862"/>
    <w:rsid w:val="00086AC0"/>
    <w:rsid w:val="00087CD1"/>
    <w:rsid w:val="0009185C"/>
    <w:rsid w:val="00091A09"/>
    <w:rsid w:val="00091ECE"/>
    <w:rsid w:val="00095192"/>
    <w:rsid w:val="00095642"/>
    <w:rsid w:val="00095AB8"/>
    <w:rsid w:val="00095B61"/>
    <w:rsid w:val="000975D1"/>
    <w:rsid w:val="000A2A44"/>
    <w:rsid w:val="000A35D2"/>
    <w:rsid w:val="000A5E40"/>
    <w:rsid w:val="000A73F1"/>
    <w:rsid w:val="000B0AC3"/>
    <w:rsid w:val="000B16C0"/>
    <w:rsid w:val="000B1A92"/>
    <w:rsid w:val="000B25A6"/>
    <w:rsid w:val="000B2ABB"/>
    <w:rsid w:val="000B2E85"/>
    <w:rsid w:val="000B31D4"/>
    <w:rsid w:val="000B5853"/>
    <w:rsid w:val="000B752D"/>
    <w:rsid w:val="000C0D99"/>
    <w:rsid w:val="000C1092"/>
    <w:rsid w:val="000C2347"/>
    <w:rsid w:val="000C2570"/>
    <w:rsid w:val="000C3649"/>
    <w:rsid w:val="000C3C2C"/>
    <w:rsid w:val="000C3CD5"/>
    <w:rsid w:val="000C48BE"/>
    <w:rsid w:val="000C5B80"/>
    <w:rsid w:val="000C5D12"/>
    <w:rsid w:val="000C66F3"/>
    <w:rsid w:val="000C79E8"/>
    <w:rsid w:val="000D2E48"/>
    <w:rsid w:val="000D3606"/>
    <w:rsid w:val="000D3878"/>
    <w:rsid w:val="000D40B5"/>
    <w:rsid w:val="000D5FFE"/>
    <w:rsid w:val="000D6292"/>
    <w:rsid w:val="000D698C"/>
    <w:rsid w:val="000D7114"/>
    <w:rsid w:val="000E07F5"/>
    <w:rsid w:val="000E17F9"/>
    <w:rsid w:val="000E18EB"/>
    <w:rsid w:val="000E1AC1"/>
    <w:rsid w:val="000E34C7"/>
    <w:rsid w:val="000E4786"/>
    <w:rsid w:val="000E6005"/>
    <w:rsid w:val="000E6EAD"/>
    <w:rsid w:val="000E7CA5"/>
    <w:rsid w:val="000F0290"/>
    <w:rsid w:val="000F1B30"/>
    <w:rsid w:val="000F4003"/>
    <w:rsid w:val="000F450E"/>
    <w:rsid w:val="000F45CD"/>
    <w:rsid w:val="000F4765"/>
    <w:rsid w:val="000F4CDD"/>
    <w:rsid w:val="000F5209"/>
    <w:rsid w:val="000F5646"/>
    <w:rsid w:val="000F6862"/>
    <w:rsid w:val="000F6FDB"/>
    <w:rsid w:val="00100523"/>
    <w:rsid w:val="00100ACA"/>
    <w:rsid w:val="001012DF"/>
    <w:rsid w:val="001015DC"/>
    <w:rsid w:val="00101BD7"/>
    <w:rsid w:val="00101DD6"/>
    <w:rsid w:val="001026F2"/>
    <w:rsid w:val="00103370"/>
    <w:rsid w:val="0010338E"/>
    <w:rsid w:val="00103580"/>
    <w:rsid w:val="00103B39"/>
    <w:rsid w:val="001042E2"/>
    <w:rsid w:val="00105C7E"/>
    <w:rsid w:val="001064E8"/>
    <w:rsid w:val="001068F3"/>
    <w:rsid w:val="00106AC1"/>
    <w:rsid w:val="00106B4F"/>
    <w:rsid w:val="00106FA4"/>
    <w:rsid w:val="001126B5"/>
    <w:rsid w:val="00112DDC"/>
    <w:rsid w:val="0011395C"/>
    <w:rsid w:val="0011430E"/>
    <w:rsid w:val="001157B7"/>
    <w:rsid w:val="00115869"/>
    <w:rsid w:val="00116348"/>
    <w:rsid w:val="00116422"/>
    <w:rsid w:val="001179A8"/>
    <w:rsid w:val="0012053F"/>
    <w:rsid w:val="00120B69"/>
    <w:rsid w:val="0012133C"/>
    <w:rsid w:val="00123883"/>
    <w:rsid w:val="001267C2"/>
    <w:rsid w:val="00127C56"/>
    <w:rsid w:val="001305F6"/>
    <w:rsid w:val="00130B1D"/>
    <w:rsid w:val="00133922"/>
    <w:rsid w:val="001344C5"/>
    <w:rsid w:val="00135445"/>
    <w:rsid w:val="00136129"/>
    <w:rsid w:val="001368B1"/>
    <w:rsid w:val="00136AFE"/>
    <w:rsid w:val="00136C71"/>
    <w:rsid w:val="00137E7E"/>
    <w:rsid w:val="00140E8C"/>
    <w:rsid w:val="00141FA5"/>
    <w:rsid w:val="00143A6E"/>
    <w:rsid w:val="00144729"/>
    <w:rsid w:val="00145249"/>
    <w:rsid w:val="00145C72"/>
    <w:rsid w:val="00146526"/>
    <w:rsid w:val="00147B47"/>
    <w:rsid w:val="00147F6A"/>
    <w:rsid w:val="00150CD3"/>
    <w:rsid w:val="001513A8"/>
    <w:rsid w:val="00152A06"/>
    <w:rsid w:val="0015359D"/>
    <w:rsid w:val="00153ADA"/>
    <w:rsid w:val="001541E5"/>
    <w:rsid w:val="0015524A"/>
    <w:rsid w:val="001565C2"/>
    <w:rsid w:val="00156F60"/>
    <w:rsid w:val="00160443"/>
    <w:rsid w:val="00161C9B"/>
    <w:rsid w:val="001649D4"/>
    <w:rsid w:val="00164A91"/>
    <w:rsid w:val="00165446"/>
    <w:rsid w:val="001669BC"/>
    <w:rsid w:val="00167E14"/>
    <w:rsid w:val="0017325B"/>
    <w:rsid w:val="001734C4"/>
    <w:rsid w:val="00174C36"/>
    <w:rsid w:val="00174CE9"/>
    <w:rsid w:val="00180BB4"/>
    <w:rsid w:val="00182AC3"/>
    <w:rsid w:val="001833D9"/>
    <w:rsid w:val="0018465A"/>
    <w:rsid w:val="00185C07"/>
    <w:rsid w:val="00185C22"/>
    <w:rsid w:val="00186249"/>
    <w:rsid w:val="0018637D"/>
    <w:rsid w:val="00187109"/>
    <w:rsid w:val="00187808"/>
    <w:rsid w:val="00187BA9"/>
    <w:rsid w:val="00190EB4"/>
    <w:rsid w:val="00192073"/>
    <w:rsid w:val="00192813"/>
    <w:rsid w:val="0019289E"/>
    <w:rsid w:val="001929E0"/>
    <w:rsid w:val="00192CC5"/>
    <w:rsid w:val="00193654"/>
    <w:rsid w:val="0019436D"/>
    <w:rsid w:val="00196270"/>
    <w:rsid w:val="00196874"/>
    <w:rsid w:val="00197A36"/>
    <w:rsid w:val="001A00E3"/>
    <w:rsid w:val="001A20F7"/>
    <w:rsid w:val="001A252A"/>
    <w:rsid w:val="001A2BF0"/>
    <w:rsid w:val="001A4AAC"/>
    <w:rsid w:val="001A562B"/>
    <w:rsid w:val="001A7B86"/>
    <w:rsid w:val="001A7E88"/>
    <w:rsid w:val="001B0C3F"/>
    <w:rsid w:val="001B1B80"/>
    <w:rsid w:val="001B21A7"/>
    <w:rsid w:val="001B35B3"/>
    <w:rsid w:val="001B37FB"/>
    <w:rsid w:val="001B3D3D"/>
    <w:rsid w:val="001B3DDC"/>
    <w:rsid w:val="001B426D"/>
    <w:rsid w:val="001B4E58"/>
    <w:rsid w:val="001B5567"/>
    <w:rsid w:val="001B5EFA"/>
    <w:rsid w:val="001B62FC"/>
    <w:rsid w:val="001B71C5"/>
    <w:rsid w:val="001B73C1"/>
    <w:rsid w:val="001B7591"/>
    <w:rsid w:val="001B7770"/>
    <w:rsid w:val="001C1522"/>
    <w:rsid w:val="001C1C10"/>
    <w:rsid w:val="001C32FC"/>
    <w:rsid w:val="001C3697"/>
    <w:rsid w:val="001C3ECA"/>
    <w:rsid w:val="001C3FB7"/>
    <w:rsid w:val="001C4129"/>
    <w:rsid w:val="001C5C60"/>
    <w:rsid w:val="001C72C0"/>
    <w:rsid w:val="001C7844"/>
    <w:rsid w:val="001D328E"/>
    <w:rsid w:val="001D3315"/>
    <w:rsid w:val="001D34EB"/>
    <w:rsid w:val="001D40CA"/>
    <w:rsid w:val="001D482B"/>
    <w:rsid w:val="001D4E18"/>
    <w:rsid w:val="001D5C46"/>
    <w:rsid w:val="001D70D8"/>
    <w:rsid w:val="001E0912"/>
    <w:rsid w:val="001E0A85"/>
    <w:rsid w:val="001E148A"/>
    <w:rsid w:val="001E2446"/>
    <w:rsid w:val="001E34C5"/>
    <w:rsid w:val="001E3670"/>
    <w:rsid w:val="001E4462"/>
    <w:rsid w:val="001E7381"/>
    <w:rsid w:val="001E7892"/>
    <w:rsid w:val="001F2518"/>
    <w:rsid w:val="001F330F"/>
    <w:rsid w:val="001F395B"/>
    <w:rsid w:val="001F3AEB"/>
    <w:rsid w:val="001F3F13"/>
    <w:rsid w:val="001F404F"/>
    <w:rsid w:val="001F4631"/>
    <w:rsid w:val="001F4A4F"/>
    <w:rsid w:val="001F5677"/>
    <w:rsid w:val="001F69FD"/>
    <w:rsid w:val="001F74EE"/>
    <w:rsid w:val="001F7AD4"/>
    <w:rsid w:val="00201CEE"/>
    <w:rsid w:val="002028A3"/>
    <w:rsid w:val="00203587"/>
    <w:rsid w:val="002035AD"/>
    <w:rsid w:val="0020600A"/>
    <w:rsid w:val="00206EA2"/>
    <w:rsid w:val="0020771F"/>
    <w:rsid w:val="002102BB"/>
    <w:rsid w:val="00211367"/>
    <w:rsid w:val="00211887"/>
    <w:rsid w:val="0021193A"/>
    <w:rsid w:val="00212326"/>
    <w:rsid w:val="00212B93"/>
    <w:rsid w:val="00212F9A"/>
    <w:rsid w:val="00213398"/>
    <w:rsid w:val="0021384B"/>
    <w:rsid w:val="002147B4"/>
    <w:rsid w:val="00217769"/>
    <w:rsid w:val="00217D25"/>
    <w:rsid w:val="00220819"/>
    <w:rsid w:val="00220B69"/>
    <w:rsid w:val="00221967"/>
    <w:rsid w:val="00221F48"/>
    <w:rsid w:val="00221FCE"/>
    <w:rsid w:val="00224382"/>
    <w:rsid w:val="0022503D"/>
    <w:rsid w:val="00225591"/>
    <w:rsid w:val="00226AD9"/>
    <w:rsid w:val="0022718B"/>
    <w:rsid w:val="00227568"/>
    <w:rsid w:val="0022797A"/>
    <w:rsid w:val="0023007F"/>
    <w:rsid w:val="00230725"/>
    <w:rsid w:val="00231090"/>
    <w:rsid w:val="00231C2A"/>
    <w:rsid w:val="0023310A"/>
    <w:rsid w:val="002346FC"/>
    <w:rsid w:val="002351A3"/>
    <w:rsid w:val="00235900"/>
    <w:rsid w:val="00237EAD"/>
    <w:rsid w:val="00240D41"/>
    <w:rsid w:val="00240D43"/>
    <w:rsid w:val="0024273C"/>
    <w:rsid w:val="0024341B"/>
    <w:rsid w:val="002442FD"/>
    <w:rsid w:val="00244398"/>
    <w:rsid w:val="002450E9"/>
    <w:rsid w:val="00246DC4"/>
    <w:rsid w:val="002502C6"/>
    <w:rsid w:val="00251FBE"/>
    <w:rsid w:val="00252207"/>
    <w:rsid w:val="002531AE"/>
    <w:rsid w:val="002554A5"/>
    <w:rsid w:val="00256C2D"/>
    <w:rsid w:val="0026133F"/>
    <w:rsid w:val="00261D07"/>
    <w:rsid w:val="002625B1"/>
    <w:rsid w:val="00262DDB"/>
    <w:rsid w:val="002635A2"/>
    <w:rsid w:val="00263B92"/>
    <w:rsid w:val="00264459"/>
    <w:rsid w:val="00264A81"/>
    <w:rsid w:val="00266D58"/>
    <w:rsid w:val="002728D3"/>
    <w:rsid w:val="00274772"/>
    <w:rsid w:val="00274C1C"/>
    <w:rsid w:val="002752FB"/>
    <w:rsid w:val="00276798"/>
    <w:rsid w:val="00276A53"/>
    <w:rsid w:val="0028036F"/>
    <w:rsid w:val="00280396"/>
    <w:rsid w:val="0028111E"/>
    <w:rsid w:val="002828BE"/>
    <w:rsid w:val="00282936"/>
    <w:rsid w:val="002834E6"/>
    <w:rsid w:val="002836B1"/>
    <w:rsid w:val="002836F6"/>
    <w:rsid w:val="00283DF6"/>
    <w:rsid w:val="00284102"/>
    <w:rsid w:val="00284525"/>
    <w:rsid w:val="00284703"/>
    <w:rsid w:val="00284DE7"/>
    <w:rsid w:val="002850DD"/>
    <w:rsid w:val="00285219"/>
    <w:rsid w:val="00286B6E"/>
    <w:rsid w:val="00286DF1"/>
    <w:rsid w:val="00286F9C"/>
    <w:rsid w:val="002871CE"/>
    <w:rsid w:val="002879B2"/>
    <w:rsid w:val="002905EA"/>
    <w:rsid w:val="00291A31"/>
    <w:rsid w:val="00291D1C"/>
    <w:rsid w:val="002925E0"/>
    <w:rsid w:val="002929B7"/>
    <w:rsid w:val="00292CB0"/>
    <w:rsid w:val="002934C3"/>
    <w:rsid w:val="00293E3A"/>
    <w:rsid w:val="002942CB"/>
    <w:rsid w:val="00295178"/>
    <w:rsid w:val="00296D8F"/>
    <w:rsid w:val="00296E23"/>
    <w:rsid w:val="00297F8F"/>
    <w:rsid w:val="002A00B3"/>
    <w:rsid w:val="002A0DF2"/>
    <w:rsid w:val="002A235E"/>
    <w:rsid w:val="002A2FEA"/>
    <w:rsid w:val="002A32D4"/>
    <w:rsid w:val="002A334C"/>
    <w:rsid w:val="002A3AB2"/>
    <w:rsid w:val="002A4BB3"/>
    <w:rsid w:val="002A4ECA"/>
    <w:rsid w:val="002A5DA1"/>
    <w:rsid w:val="002B0073"/>
    <w:rsid w:val="002B023A"/>
    <w:rsid w:val="002B04FB"/>
    <w:rsid w:val="002B0500"/>
    <w:rsid w:val="002B085A"/>
    <w:rsid w:val="002B175F"/>
    <w:rsid w:val="002B1FFA"/>
    <w:rsid w:val="002B4BD4"/>
    <w:rsid w:val="002B54A1"/>
    <w:rsid w:val="002B5950"/>
    <w:rsid w:val="002B612F"/>
    <w:rsid w:val="002B64D6"/>
    <w:rsid w:val="002B6563"/>
    <w:rsid w:val="002C2B05"/>
    <w:rsid w:val="002C570A"/>
    <w:rsid w:val="002C5E52"/>
    <w:rsid w:val="002C701E"/>
    <w:rsid w:val="002C7BC9"/>
    <w:rsid w:val="002D197D"/>
    <w:rsid w:val="002D1F36"/>
    <w:rsid w:val="002D1F8C"/>
    <w:rsid w:val="002D2310"/>
    <w:rsid w:val="002D25BD"/>
    <w:rsid w:val="002D2C08"/>
    <w:rsid w:val="002D31D6"/>
    <w:rsid w:val="002D3252"/>
    <w:rsid w:val="002D325C"/>
    <w:rsid w:val="002D3597"/>
    <w:rsid w:val="002D36AD"/>
    <w:rsid w:val="002D50CB"/>
    <w:rsid w:val="002E03A9"/>
    <w:rsid w:val="002E0B9B"/>
    <w:rsid w:val="002E2915"/>
    <w:rsid w:val="002E2919"/>
    <w:rsid w:val="002E303A"/>
    <w:rsid w:val="002E30DC"/>
    <w:rsid w:val="002E346C"/>
    <w:rsid w:val="002E396D"/>
    <w:rsid w:val="002E424B"/>
    <w:rsid w:val="002E4354"/>
    <w:rsid w:val="002F177A"/>
    <w:rsid w:val="002F2B51"/>
    <w:rsid w:val="002F2E9D"/>
    <w:rsid w:val="002F3031"/>
    <w:rsid w:val="002F3965"/>
    <w:rsid w:val="002F51B7"/>
    <w:rsid w:val="002F6077"/>
    <w:rsid w:val="002F6FB6"/>
    <w:rsid w:val="002F7515"/>
    <w:rsid w:val="002F78E7"/>
    <w:rsid w:val="002F7F47"/>
    <w:rsid w:val="0030109E"/>
    <w:rsid w:val="003016D1"/>
    <w:rsid w:val="003024AC"/>
    <w:rsid w:val="00305BAB"/>
    <w:rsid w:val="00305DA6"/>
    <w:rsid w:val="003079B9"/>
    <w:rsid w:val="00311C2A"/>
    <w:rsid w:val="00311C4E"/>
    <w:rsid w:val="003126B9"/>
    <w:rsid w:val="00312A8F"/>
    <w:rsid w:val="00314A24"/>
    <w:rsid w:val="00315173"/>
    <w:rsid w:val="0031540A"/>
    <w:rsid w:val="00315A8D"/>
    <w:rsid w:val="00315DF5"/>
    <w:rsid w:val="00316872"/>
    <w:rsid w:val="003168FB"/>
    <w:rsid w:val="00317768"/>
    <w:rsid w:val="00317918"/>
    <w:rsid w:val="00317A84"/>
    <w:rsid w:val="0032085C"/>
    <w:rsid w:val="003216FC"/>
    <w:rsid w:val="003224C9"/>
    <w:rsid w:val="00322921"/>
    <w:rsid w:val="0032345C"/>
    <w:rsid w:val="00323C0F"/>
    <w:rsid w:val="00324DB1"/>
    <w:rsid w:val="00324F0A"/>
    <w:rsid w:val="0032513A"/>
    <w:rsid w:val="00325F22"/>
    <w:rsid w:val="00326A80"/>
    <w:rsid w:val="003270DE"/>
    <w:rsid w:val="00330965"/>
    <w:rsid w:val="003316FD"/>
    <w:rsid w:val="00331C74"/>
    <w:rsid w:val="00332806"/>
    <w:rsid w:val="00333425"/>
    <w:rsid w:val="00333729"/>
    <w:rsid w:val="0033389D"/>
    <w:rsid w:val="00333A38"/>
    <w:rsid w:val="00335A77"/>
    <w:rsid w:val="00335A81"/>
    <w:rsid w:val="00335F60"/>
    <w:rsid w:val="003409E8"/>
    <w:rsid w:val="00340FAE"/>
    <w:rsid w:val="0034135F"/>
    <w:rsid w:val="00341B12"/>
    <w:rsid w:val="00342109"/>
    <w:rsid w:val="00342DAE"/>
    <w:rsid w:val="003430A0"/>
    <w:rsid w:val="003439FF"/>
    <w:rsid w:val="00343B0E"/>
    <w:rsid w:val="003448D3"/>
    <w:rsid w:val="00345638"/>
    <w:rsid w:val="00346DC9"/>
    <w:rsid w:val="003476D2"/>
    <w:rsid w:val="00350014"/>
    <w:rsid w:val="00350B7B"/>
    <w:rsid w:val="0035138F"/>
    <w:rsid w:val="0035561F"/>
    <w:rsid w:val="00355A76"/>
    <w:rsid w:val="00356009"/>
    <w:rsid w:val="00357F15"/>
    <w:rsid w:val="003602EF"/>
    <w:rsid w:val="0036098E"/>
    <w:rsid w:val="00364F4D"/>
    <w:rsid w:val="0036510D"/>
    <w:rsid w:val="00365E19"/>
    <w:rsid w:val="003676E6"/>
    <w:rsid w:val="00370173"/>
    <w:rsid w:val="00370368"/>
    <w:rsid w:val="00370954"/>
    <w:rsid w:val="00371910"/>
    <w:rsid w:val="00373321"/>
    <w:rsid w:val="003744FE"/>
    <w:rsid w:val="003746A0"/>
    <w:rsid w:val="00374CC8"/>
    <w:rsid w:val="00374DCF"/>
    <w:rsid w:val="00376301"/>
    <w:rsid w:val="00380982"/>
    <w:rsid w:val="00382370"/>
    <w:rsid w:val="00383015"/>
    <w:rsid w:val="00384463"/>
    <w:rsid w:val="00385059"/>
    <w:rsid w:val="003851E6"/>
    <w:rsid w:val="00385E2C"/>
    <w:rsid w:val="00386607"/>
    <w:rsid w:val="00386688"/>
    <w:rsid w:val="00386D1E"/>
    <w:rsid w:val="00387C3B"/>
    <w:rsid w:val="00390F9C"/>
    <w:rsid w:val="00391DD5"/>
    <w:rsid w:val="00393010"/>
    <w:rsid w:val="00394901"/>
    <w:rsid w:val="003949DC"/>
    <w:rsid w:val="003971FA"/>
    <w:rsid w:val="003A01BB"/>
    <w:rsid w:val="003A2247"/>
    <w:rsid w:val="003A365F"/>
    <w:rsid w:val="003A434B"/>
    <w:rsid w:val="003A4966"/>
    <w:rsid w:val="003A56BE"/>
    <w:rsid w:val="003A638A"/>
    <w:rsid w:val="003B01A8"/>
    <w:rsid w:val="003B0A4B"/>
    <w:rsid w:val="003B0CE9"/>
    <w:rsid w:val="003B103B"/>
    <w:rsid w:val="003B17D0"/>
    <w:rsid w:val="003B1CCC"/>
    <w:rsid w:val="003B2F05"/>
    <w:rsid w:val="003B37DA"/>
    <w:rsid w:val="003B39A2"/>
    <w:rsid w:val="003B3C37"/>
    <w:rsid w:val="003B4311"/>
    <w:rsid w:val="003B5245"/>
    <w:rsid w:val="003B7BF1"/>
    <w:rsid w:val="003C13B3"/>
    <w:rsid w:val="003C1BA3"/>
    <w:rsid w:val="003C29A0"/>
    <w:rsid w:val="003C2DA3"/>
    <w:rsid w:val="003C3359"/>
    <w:rsid w:val="003C3555"/>
    <w:rsid w:val="003C40EB"/>
    <w:rsid w:val="003C5DE6"/>
    <w:rsid w:val="003C7503"/>
    <w:rsid w:val="003C7C92"/>
    <w:rsid w:val="003D040B"/>
    <w:rsid w:val="003D14C6"/>
    <w:rsid w:val="003D2374"/>
    <w:rsid w:val="003D2792"/>
    <w:rsid w:val="003D746A"/>
    <w:rsid w:val="003E130A"/>
    <w:rsid w:val="003E2FA3"/>
    <w:rsid w:val="003E3956"/>
    <w:rsid w:val="003E3D9B"/>
    <w:rsid w:val="003E3F90"/>
    <w:rsid w:val="003E432A"/>
    <w:rsid w:val="003E453C"/>
    <w:rsid w:val="003E6897"/>
    <w:rsid w:val="003E6F7E"/>
    <w:rsid w:val="003E7766"/>
    <w:rsid w:val="003E7840"/>
    <w:rsid w:val="003F0746"/>
    <w:rsid w:val="003F1FEA"/>
    <w:rsid w:val="003F34EA"/>
    <w:rsid w:val="003F498F"/>
    <w:rsid w:val="003F509A"/>
    <w:rsid w:val="003F6170"/>
    <w:rsid w:val="00400F3B"/>
    <w:rsid w:val="004033B4"/>
    <w:rsid w:val="00405EED"/>
    <w:rsid w:val="0040700F"/>
    <w:rsid w:val="0040735B"/>
    <w:rsid w:val="00411043"/>
    <w:rsid w:val="00413E01"/>
    <w:rsid w:val="00415735"/>
    <w:rsid w:val="00417F9B"/>
    <w:rsid w:val="0042505C"/>
    <w:rsid w:val="00426B5A"/>
    <w:rsid w:val="0042779A"/>
    <w:rsid w:val="00427BBF"/>
    <w:rsid w:val="00430136"/>
    <w:rsid w:val="00430155"/>
    <w:rsid w:val="00430779"/>
    <w:rsid w:val="0043093B"/>
    <w:rsid w:val="00431D2B"/>
    <w:rsid w:val="00435A0F"/>
    <w:rsid w:val="004361DE"/>
    <w:rsid w:val="004377C0"/>
    <w:rsid w:val="0044053A"/>
    <w:rsid w:val="004409CE"/>
    <w:rsid w:val="00441441"/>
    <w:rsid w:val="004424AE"/>
    <w:rsid w:val="00442513"/>
    <w:rsid w:val="00443E1B"/>
    <w:rsid w:val="00447077"/>
    <w:rsid w:val="004472B5"/>
    <w:rsid w:val="00447F6F"/>
    <w:rsid w:val="00450743"/>
    <w:rsid w:val="0045280C"/>
    <w:rsid w:val="00452FAA"/>
    <w:rsid w:val="00453078"/>
    <w:rsid w:val="00453654"/>
    <w:rsid w:val="004536AB"/>
    <w:rsid w:val="004550C3"/>
    <w:rsid w:val="00455384"/>
    <w:rsid w:val="00455CFE"/>
    <w:rsid w:val="00456CF6"/>
    <w:rsid w:val="00457687"/>
    <w:rsid w:val="004600FB"/>
    <w:rsid w:val="00460B3E"/>
    <w:rsid w:val="0046225E"/>
    <w:rsid w:val="00462A70"/>
    <w:rsid w:val="00462C71"/>
    <w:rsid w:val="004655DA"/>
    <w:rsid w:val="00465D6B"/>
    <w:rsid w:val="00466389"/>
    <w:rsid w:val="0046646E"/>
    <w:rsid w:val="004700F3"/>
    <w:rsid w:val="00470DA7"/>
    <w:rsid w:val="00471B68"/>
    <w:rsid w:val="0047507C"/>
    <w:rsid w:val="00476196"/>
    <w:rsid w:val="004763C1"/>
    <w:rsid w:val="004763D5"/>
    <w:rsid w:val="0048104E"/>
    <w:rsid w:val="00482616"/>
    <w:rsid w:val="00483B32"/>
    <w:rsid w:val="00484468"/>
    <w:rsid w:val="00484514"/>
    <w:rsid w:val="00484817"/>
    <w:rsid w:val="0048676A"/>
    <w:rsid w:val="00486B28"/>
    <w:rsid w:val="00487554"/>
    <w:rsid w:val="00487DEB"/>
    <w:rsid w:val="004906BA"/>
    <w:rsid w:val="00492AC8"/>
    <w:rsid w:val="004931F5"/>
    <w:rsid w:val="00493487"/>
    <w:rsid w:val="0049372C"/>
    <w:rsid w:val="00494A16"/>
    <w:rsid w:val="00495E51"/>
    <w:rsid w:val="00496791"/>
    <w:rsid w:val="00497524"/>
    <w:rsid w:val="00497724"/>
    <w:rsid w:val="004A068A"/>
    <w:rsid w:val="004A165E"/>
    <w:rsid w:val="004A1D84"/>
    <w:rsid w:val="004A1F3D"/>
    <w:rsid w:val="004A327B"/>
    <w:rsid w:val="004A41CF"/>
    <w:rsid w:val="004A4498"/>
    <w:rsid w:val="004A5B4D"/>
    <w:rsid w:val="004A5F9E"/>
    <w:rsid w:val="004B1276"/>
    <w:rsid w:val="004B1618"/>
    <w:rsid w:val="004B1A27"/>
    <w:rsid w:val="004B3F7C"/>
    <w:rsid w:val="004B4293"/>
    <w:rsid w:val="004B4995"/>
    <w:rsid w:val="004B6012"/>
    <w:rsid w:val="004B6980"/>
    <w:rsid w:val="004B7EA6"/>
    <w:rsid w:val="004C0658"/>
    <w:rsid w:val="004C1497"/>
    <w:rsid w:val="004C6D2C"/>
    <w:rsid w:val="004D01F7"/>
    <w:rsid w:val="004D0AFA"/>
    <w:rsid w:val="004D0FDF"/>
    <w:rsid w:val="004D2017"/>
    <w:rsid w:val="004D21AC"/>
    <w:rsid w:val="004D236D"/>
    <w:rsid w:val="004D451A"/>
    <w:rsid w:val="004D563F"/>
    <w:rsid w:val="004E0721"/>
    <w:rsid w:val="004E1462"/>
    <w:rsid w:val="004E1633"/>
    <w:rsid w:val="004E2FE1"/>
    <w:rsid w:val="004E3CCF"/>
    <w:rsid w:val="004E3FF4"/>
    <w:rsid w:val="004E4191"/>
    <w:rsid w:val="004E5832"/>
    <w:rsid w:val="004E5EA9"/>
    <w:rsid w:val="004E5EC2"/>
    <w:rsid w:val="004E7A9B"/>
    <w:rsid w:val="004E7EB3"/>
    <w:rsid w:val="004F16F0"/>
    <w:rsid w:val="004F2495"/>
    <w:rsid w:val="004F5EB9"/>
    <w:rsid w:val="00500725"/>
    <w:rsid w:val="00501437"/>
    <w:rsid w:val="0050146D"/>
    <w:rsid w:val="00502668"/>
    <w:rsid w:val="0050353C"/>
    <w:rsid w:val="00504972"/>
    <w:rsid w:val="005050B0"/>
    <w:rsid w:val="00505E83"/>
    <w:rsid w:val="005060B9"/>
    <w:rsid w:val="00506A72"/>
    <w:rsid w:val="00511631"/>
    <w:rsid w:val="00511675"/>
    <w:rsid w:val="00512208"/>
    <w:rsid w:val="005131EE"/>
    <w:rsid w:val="0051334E"/>
    <w:rsid w:val="00514675"/>
    <w:rsid w:val="005171D9"/>
    <w:rsid w:val="00517F39"/>
    <w:rsid w:val="0052028D"/>
    <w:rsid w:val="00521A8B"/>
    <w:rsid w:val="00522008"/>
    <w:rsid w:val="00522CE7"/>
    <w:rsid w:val="00522DBD"/>
    <w:rsid w:val="005252F6"/>
    <w:rsid w:val="00526DBA"/>
    <w:rsid w:val="005271C5"/>
    <w:rsid w:val="00530240"/>
    <w:rsid w:val="0053315B"/>
    <w:rsid w:val="00533A26"/>
    <w:rsid w:val="00534138"/>
    <w:rsid w:val="00534B62"/>
    <w:rsid w:val="00535B4D"/>
    <w:rsid w:val="00535D12"/>
    <w:rsid w:val="005435D2"/>
    <w:rsid w:val="00543B7B"/>
    <w:rsid w:val="005448CB"/>
    <w:rsid w:val="00544A50"/>
    <w:rsid w:val="00547080"/>
    <w:rsid w:val="005511BB"/>
    <w:rsid w:val="00553EFE"/>
    <w:rsid w:val="00553F7A"/>
    <w:rsid w:val="00556FB3"/>
    <w:rsid w:val="00557DA1"/>
    <w:rsid w:val="00561B99"/>
    <w:rsid w:val="00562BC9"/>
    <w:rsid w:val="00565236"/>
    <w:rsid w:val="0056609C"/>
    <w:rsid w:val="0056735C"/>
    <w:rsid w:val="00567E4B"/>
    <w:rsid w:val="005703BF"/>
    <w:rsid w:val="00572903"/>
    <w:rsid w:val="00572C68"/>
    <w:rsid w:val="00572EE3"/>
    <w:rsid w:val="005743C0"/>
    <w:rsid w:val="00574720"/>
    <w:rsid w:val="00574AA6"/>
    <w:rsid w:val="00576021"/>
    <w:rsid w:val="00576976"/>
    <w:rsid w:val="00576A0A"/>
    <w:rsid w:val="005810FD"/>
    <w:rsid w:val="005819C1"/>
    <w:rsid w:val="00586ED6"/>
    <w:rsid w:val="00590E21"/>
    <w:rsid w:val="005928D8"/>
    <w:rsid w:val="005942FB"/>
    <w:rsid w:val="00595075"/>
    <w:rsid w:val="00597522"/>
    <w:rsid w:val="00597A83"/>
    <w:rsid w:val="00597B34"/>
    <w:rsid w:val="005A036A"/>
    <w:rsid w:val="005A03CC"/>
    <w:rsid w:val="005A0A34"/>
    <w:rsid w:val="005A1662"/>
    <w:rsid w:val="005A2DF3"/>
    <w:rsid w:val="005A3D39"/>
    <w:rsid w:val="005A48B1"/>
    <w:rsid w:val="005A5606"/>
    <w:rsid w:val="005A6BEA"/>
    <w:rsid w:val="005B1484"/>
    <w:rsid w:val="005B3390"/>
    <w:rsid w:val="005B5805"/>
    <w:rsid w:val="005B5BC9"/>
    <w:rsid w:val="005B641F"/>
    <w:rsid w:val="005B681D"/>
    <w:rsid w:val="005C001F"/>
    <w:rsid w:val="005C060C"/>
    <w:rsid w:val="005C100F"/>
    <w:rsid w:val="005C1B1B"/>
    <w:rsid w:val="005C2E90"/>
    <w:rsid w:val="005C32C3"/>
    <w:rsid w:val="005C4E53"/>
    <w:rsid w:val="005C50F7"/>
    <w:rsid w:val="005C6989"/>
    <w:rsid w:val="005C7EC9"/>
    <w:rsid w:val="005D1B82"/>
    <w:rsid w:val="005D2823"/>
    <w:rsid w:val="005D29C3"/>
    <w:rsid w:val="005D29D8"/>
    <w:rsid w:val="005D3D70"/>
    <w:rsid w:val="005D3E8E"/>
    <w:rsid w:val="005D4B74"/>
    <w:rsid w:val="005D5477"/>
    <w:rsid w:val="005D618F"/>
    <w:rsid w:val="005D6D78"/>
    <w:rsid w:val="005D7DE7"/>
    <w:rsid w:val="005D7DF7"/>
    <w:rsid w:val="005E0474"/>
    <w:rsid w:val="005E0AFC"/>
    <w:rsid w:val="005E0D51"/>
    <w:rsid w:val="005E277C"/>
    <w:rsid w:val="005E3A23"/>
    <w:rsid w:val="005E43FB"/>
    <w:rsid w:val="005E46AE"/>
    <w:rsid w:val="005E6DCB"/>
    <w:rsid w:val="005E6EFE"/>
    <w:rsid w:val="005F0A9F"/>
    <w:rsid w:val="005F2C42"/>
    <w:rsid w:val="005F2DD5"/>
    <w:rsid w:val="005F2E79"/>
    <w:rsid w:val="005F3165"/>
    <w:rsid w:val="005F4695"/>
    <w:rsid w:val="005F48F4"/>
    <w:rsid w:val="005F5131"/>
    <w:rsid w:val="005F62BE"/>
    <w:rsid w:val="005F6CC8"/>
    <w:rsid w:val="005F73A7"/>
    <w:rsid w:val="005F7532"/>
    <w:rsid w:val="005F7CF2"/>
    <w:rsid w:val="00601354"/>
    <w:rsid w:val="006013AB"/>
    <w:rsid w:val="00602446"/>
    <w:rsid w:val="006028D0"/>
    <w:rsid w:val="0060376F"/>
    <w:rsid w:val="00603881"/>
    <w:rsid w:val="006041E0"/>
    <w:rsid w:val="0060666A"/>
    <w:rsid w:val="0060675B"/>
    <w:rsid w:val="006074E3"/>
    <w:rsid w:val="00610D52"/>
    <w:rsid w:val="00611162"/>
    <w:rsid w:val="00611967"/>
    <w:rsid w:val="00612015"/>
    <w:rsid w:val="00612342"/>
    <w:rsid w:val="00613325"/>
    <w:rsid w:val="00613FD7"/>
    <w:rsid w:val="006142D8"/>
    <w:rsid w:val="00614D9B"/>
    <w:rsid w:val="006157A3"/>
    <w:rsid w:val="00616603"/>
    <w:rsid w:val="006179C2"/>
    <w:rsid w:val="006215BE"/>
    <w:rsid w:val="00622E3D"/>
    <w:rsid w:val="00624736"/>
    <w:rsid w:val="006269C5"/>
    <w:rsid w:val="0062721E"/>
    <w:rsid w:val="006275D5"/>
    <w:rsid w:val="00627AC4"/>
    <w:rsid w:val="00630510"/>
    <w:rsid w:val="006307F9"/>
    <w:rsid w:val="0063092F"/>
    <w:rsid w:val="00631CFF"/>
    <w:rsid w:val="00634AED"/>
    <w:rsid w:val="00634AF8"/>
    <w:rsid w:val="00634D5C"/>
    <w:rsid w:val="00635B84"/>
    <w:rsid w:val="00641F2A"/>
    <w:rsid w:val="00642106"/>
    <w:rsid w:val="0064385A"/>
    <w:rsid w:val="00643D43"/>
    <w:rsid w:val="00644BA7"/>
    <w:rsid w:val="00644C14"/>
    <w:rsid w:val="00646115"/>
    <w:rsid w:val="00646CD1"/>
    <w:rsid w:val="00650C3E"/>
    <w:rsid w:val="00652686"/>
    <w:rsid w:val="006529CA"/>
    <w:rsid w:val="006536A3"/>
    <w:rsid w:val="00653FC1"/>
    <w:rsid w:val="00660639"/>
    <w:rsid w:val="0066172A"/>
    <w:rsid w:val="00663E5A"/>
    <w:rsid w:val="0066548F"/>
    <w:rsid w:val="00666398"/>
    <w:rsid w:val="0066772C"/>
    <w:rsid w:val="006678CB"/>
    <w:rsid w:val="00670589"/>
    <w:rsid w:val="00671C55"/>
    <w:rsid w:val="00672A71"/>
    <w:rsid w:val="00674320"/>
    <w:rsid w:val="0067586F"/>
    <w:rsid w:val="00676A1F"/>
    <w:rsid w:val="00676E13"/>
    <w:rsid w:val="00682563"/>
    <w:rsid w:val="00682E56"/>
    <w:rsid w:val="006838CB"/>
    <w:rsid w:val="006845ED"/>
    <w:rsid w:val="0068476F"/>
    <w:rsid w:val="00685AC7"/>
    <w:rsid w:val="00685F7E"/>
    <w:rsid w:val="0068719C"/>
    <w:rsid w:val="00690389"/>
    <w:rsid w:val="00690959"/>
    <w:rsid w:val="00690CAB"/>
    <w:rsid w:val="00691D36"/>
    <w:rsid w:val="00692E06"/>
    <w:rsid w:val="006933D0"/>
    <w:rsid w:val="00693E63"/>
    <w:rsid w:val="00694327"/>
    <w:rsid w:val="00694574"/>
    <w:rsid w:val="00695945"/>
    <w:rsid w:val="006963CC"/>
    <w:rsid w:val="006A1200"/>
    <w:rsid w:val="006A2292"/>
    <w:rsid w:val="006A3E76"/>
    <w:rsid w:val="006A4F6E"/>
    <w:rsid w:val="006A5406"/>
    <w:rsid w:val="006A5D18"/>
    <w:rsid w:val="006A6A17"/>
    <w:rsid w:val="006A6C70"/>
    <w:rsid w:val="006A77E1"/>
    <w:rsid w:val="006B0DEC"/>
    <w:rsid w:val="006B2100"/>
    <w:rsid w:val="006B2C59"/>
    <w:rsid w:val="006B515A"/>
    <w:rsid w:val="006B678A"/>
    <w:rsid w:val="006B79D0"/>
    <w:rsid w:val="006C02AD"/>
    <w:rsid w:val="006C127B"/>
    <w:rsid w:val="006C1A60"/>
    <w:rsid w:val="006C2554"/>
    <w:rsid w:val="006C3B41"/>
    <w:rsid w:val="006C3BD8"/>
    <w:rsid w:val="006C3FB9"/>
    <w:rsid w:val="006C4B8F"/>
    <w:rsid w:val="006C5064"/>
    <w:rsid w:val="006C5543"/>
    <w:rsid w:val="006C6BA7"/>
    <w:rsid w:val="006C6CCA"/>
    <w:rsid w:val="006C6F9D"/>
    <w:rsid w:val="006D0F42"/>
    <w:rsid w:val="006D127C"/>
    <w:rsid w:val="006D1586"/>
    <w:rsid w:val="006D1A0E"/>
    <w:rsid w:val="006D1FD6"/>
    <w:rsid w:val="006D2343"/>
    <w:rsid w:val="006D36C3"/>
    <w:rsid w:val="006D3FF5"/>
    <w:rsid w:val="006D535F"/>
    <w:rsid w:val="006E0BDC"/>
    <w:rsid w:val="006E0DA4"/>
    <w:rsid w:val="006E267A"/>
    <w:rsid w:val="006E2FFB"/>
    <w:rsid w:val="006E316B"/>
    <w:rsid w:val="006E34B1"/>
    <w:rsid w:val="006E416A"/>
    <w:rsid w:val="006E4A49"/>
    <w:rsid w:val="006E6B5C"/>
    <w:rsid w:val="006E6D6C"/>
    <w:rsid w:val="006E6E5D"/>
    <w:rsid w:val="006F0C03"/>
    <w:rsid w:val="006F35D4"/>
    <w:rsid w:val="006F5336"/>
    <w:rsid w:val="006F5CD6"/>
    <w:rsid w:val="006F6CB2"/>
    <w:rsid w:val="006F7D25"/>
    <w:rsid w:val="00703601"/>
    <w:rsid w:val="007037A4"/>
    <w:rsid w:val="00704290"/>
    <w:rsid w:val="007100C5"/>
    <w:rsid w:val="00711BF9"/>
    <w:rsid w:val="00712633"/>
    <w:rsid w:val="007131E0"/>
    <w:rsid w:val="0071447B"/>
    <w:rsid w:val="00714D3D"/>
    <w:rsid w:val="0071556C"/>
    <w:rsid w:val="00715C62"/>
    <w:rsid w:val="0071762F"/>
    <w:rsid w:val="00717839"/>
    <w:rsid w:val="00717AEC"/>
    <w:rsid w:val="0072116C"/>
    <w:rsid w:val="00723609"/>
    <w:rsid w:val="0072409F"/>
    <w:rsid w:val="0072420F"/>
    <w:rsid w:val="00725094"/>
    <w:rsid w:val="00725E5D"/>
    <w:rsid w:val="00727E0D"/>
    <w:rsid w:val="00730B3F"/>
    <w:rsid w:val="00731059"/>
    <w:rsid w:val="0073512E"/>
    <w:rsid w:val="00741926"/>
    <w:rsid w:val="00742263"/>
    <w:rsid w:val="007436F7"/>
    <w:rsid w:val="0074391A"/>
    <w:rsid w:val="00745AFC"/>
    <w:rsid w:val="00745DCD"/>
    <w:rsid w:val="00746334"/>
    <w:rsid w:val="007463AF"/>
    <w:rsid w:val="00746A54"/>
    <w:rsid w:val="0075010B"/>
    <w:rsid w:val="007512CC"/>
    <w:rsid w:val="00751F91"/>
    <w:rsid w:val="00752B68"/>
    <w:rsid w:val="007545F2"/>
    <w:rsid w:val="007549F6"/>
    <w:rsid w:val="007554E3"/>
    <w:rsid w:val="007564C8"/>
    <w:rsid w:val="007575CD"/>
    <w:rsid w:val="0075770A"/>
    <w:rsid w:val="00757F98"/>
    <w:rsid w:val="0076123A"/>
    <w:rsid w:val="0076263F"/>
    <w:rsid w:val="007643B9"/>
    <w:rsid w:val="00765533"/>
    <w:rsid w:val="00765FF6"/>
    <w:rsid w:val="00766785"/>
    <w:rsid w:val="00766AE2"/>
    <w:rsid w:val="00766ED2"/>
    <w:rsid w:val="007704F9"/>
    <w:rsid w:val="007705DC"/>
    <w:rsid w:val="00770D5A"/>
    <w:rsid w:val="007711BD"/>
    <w:rsid w:val="0077256E"/>
    <w:rsid w:val="00772C4B"/>
    <w:rsid w:val="00774528"/>
    <w:rsid w:val="007749DD"/>
    <w:rsid w:val="00775A84"/>
    <w:rsid w:val="00775EAB"/>
    <w:rsid w:val="007769E3"/>
    <w:rsid w:val="00776B94"/>
    <w:rsid w:val="007817BC"/>
    <w:rsid w:val="00782139"/>
    <w:rsid w:val="00782C23"/>
    <w:rsid w:val="007848A5"/>
    <w:rsid w:val="007864A6"/>
    <w:rsid w:val="007900DF"/>
    <w:rsid w:val="00791145"/>
    <w:rsid w:val="0079122C"/>
    <w:rsid w:val="007912E7"/>
    <w:rsid w:val="00791A91"/>
    <w:rsid w:val="00796204"/>
    <w:rsid w:val="00796793"/>
    <w:rsid w:val="007A0A8D"/>
    <w:rsid w:val="007A1492"/>
    <w:rsid w:val="007A178F"/>
    <w:rsid w:val="007A2CB7"/>
    <w:rsid w:val="007A461A"/>
    <w:rsid w:val="007A515F"/>
    <w:rsid w:val="007A588D"/>
    <w:rsid w:val="007A5A14"/>
    <w:rsid w:val="007A68E8"/>
    <w:rsid w:val="007A6D3D"/>
    <w:rsid w:val="007A75F3"/>
    <w:rsid w:val="007A7DEF"/>
    <w:rsid w:val="007B0AFB"/>
    <w:rsid w:val="007B0E43"/>
    <w:rsid w:val="007B0FE6"/>
    <w:rsid w:val="007B1E46"/>
    <w:rsid w:val="007B23C2"/>
    <w:rsid w:val="007B2471"/>
    <w:rsid w:val="007B2666"/>
    <w:rsid w:val="007B303D"/>
    <w:rsid w:val="007B3271"/>
    <w:rsid w:val="007B3C9E"/>
    <w:rsid w:val="007B3F5E"/>
    <w:rsid w:val="007B4A54"/>
    <w:rsid w:val="007B68ED"/>
    <w:rsid w:val="007B794F"/>
    <w:rsid w:val="007C07AA"/>
    <w:rsid w:val="007C0DE8"/>
    <w:rsid w:val="007C229E"/>
    <w:rsid w:val="007C2BBC"/>
    <w:rsid w:val="007C32DE"/>
    <w:rsid w:val="007C34EB"/>
    <w:rsid w:val="007C46AB"/>
    <w:rsid w:val="007C475B"/>
    <w:rsid w:val="007C5036"/>
    <w:rsid w:val="007D0057"/>
    <w:rsid w:val="007D0E92"/>
    <w:rsid w:val="007D511D"/>
    <w:rsid w:val="007D59F3"/>
    <w:rsid w:val="007E0A91"/>
    <w:rsid w:val="007E1386"/>
    <w:rsid w:val="007E1DBE"/>
    <w:rsid w:val="007E4740"/>
    <w:rsid w:val="007E4ABE"/>
    <w:rsid w:val="007E5036"/>
    <w:rsid w:val="007E6202"/>
    <w:rsid w:val="007E6A40"/>
    <w:rsid w:val="007F0775"/>
    <w:rsid w:val="007F0DAF"/>
    <w:rsid w:val="007F24AB"/>
    <w:rsid w:val="007F41DB"/>
    <w:rsid w:val="007F5B98"/>
    <w:rsid w:val="007F5F40"/>
    <w:rsid w:val="007F6539"/>
    <w:rsid w:val="007F6E29"/>
    <w:rsid w:val="007F7138"/>
    <w:rsid w:val="007F775B"/>
    <w:rsid w:val="0080011F"/>
    <w:rsid w:val="00801AF6"/>
    <w:rsid w:val="00801CA6"/>
    <w:rsid w:val="00802032"/>
    <w:rsid w:val="008029FA"/>
    <w:rsid w:val="008043AF"/>
    <w:rsid w:val="00804B9C"/>
    <w:rsid w:val="00804E60"/>
    <w:rsid w:val="00805C13"/>
    <w:rsid w:val="0081203A"/>
    <w:rsid w:val="008120B6"/>
    <w:rsid w:val="00812B78"/>
    <w:rsid w:val="00813B73"/>
    <w:rsid w:val="00820EFE"/>
    <w:rsid w:val="00821505"/>
    <w:rsid w:val="00821DE6"/>
    <w:rsid w:val="00822AD6"/>
    <w:rsid w:val="008233F9"/>
    <w:rsid w:val="00824859"/>
    <w:rsid w:val="00825173"/>
    <w:rsid w:val="008252BF"/>
    <w:rsid w:val="0082540C"/>
    <w:rsid w:val="008254A7"/>
    <w:rsid w:val="00825943"/>
    <w:rsid w:val="00825C41"/>
    <w:rsid w:val="00826296"/>
    <w:rsid w:val="00826FB9"/>
    <w:rsid w:val="00827EEC"/>
    <w:rsid w:val="008328A6"/>
    <w:rsid w:val="008329E2"/>
    <w:rsid w:val="00834D24"/>
    <w:rsid w:val="008351FF"/>
    <w:rsid w:val="00835824"/>
    <w:rsid w:val="008371B5"/>
    <w:rsid w:val="00841088"/>
    <w:rsid w:val="00841633"/>
    <w:rsid w:val="00843DE0"/>
    <w:rsid w:val="0084465F"/>
    <w:rsid w:val="00845840"/>
    <w:rsid w:val="00845A30"/>
    <w:rsid w:val="008466A0"/>
    <w:rsid w:val="00847085"/>
    <w:rsid w:val="00847D8A"/>
    <w:rsid w:val="008501BD"/>
    <w:rsid w:val="008501E5"/>
    <w:rsid w:val="00851398"/>
    <w:rsid w:val="00851A3D"/>
    <w:rsid w:val="008523ED"/>
    <w:rsid w:val="00853543"/>
    <w:rsid w:val="00854010"/>
    <w:rsid w:val="00856846"/>
    <w:rsid w:val="00856995"/>
    <w:rsid w:val="00860F82"/>
    <w:rsid w:val="0086255D"/>
    <w:rsid w:val="00863143"/>
    <w:rsid w:val="00863522"/>
    <w:rsid w:val="00864C3D"/>
    <w:rsid w:val="0086507D"/>
    <w:rsid w:val="0086691F"/>
    <w:rsid w:val="00871BCC"/>
    <w:rsid w:val="008730EA"/>
    <w:rsid w:val="00873405"/>
    <w:rsid w:val="00876DD0"/>
    <w:rsid w:val="008819BC"/>
    <w:rsid w:val="00881F0B"/>
    <w:rsid w:val="008835FC"/>
    <w:rsid w:val="008856EE"/>
    <w:rsid w:val="00886046"/>
    <w:rsid w:val="00890A6D"/>
    <w:rsid w:val="00892156"/>
    <w:rsid w:val="008927FE"/>
    <w:rsid w:val="00892BE4"/>
    <w:rsid w:val="00893504"/>
    <w:rsid w:val="008945F5"/>
    <w:rsid w:val="0089587B"/>
    <w:rsid w:val="00895A43"/>
    <w:rsid w:val="00895B69"/>
    <w:rsid w:val="00897323"/>
    <w:rsid w:val="008975C0"/>
    <w:rsid w:val="008A074A"/>
    <w:rsid w:val="008A15D7"/>
    <w:rsid w:val="008A2414"/>
    <w:rsid w:val="008A29A7"/>
    <w:rsid w:val="008A4424"/>
    <w:rsid w:val="008A5219"/>
    <w:rsid w:val="008A612D"/>
    <w:rsid w:val="008A7A20"/>
    <w:rsid w:val="008A7FC2"/>
    <w:rsid w:val="008B0F7C"/>
    <w:rsid w:val="008B1B4D"/>
    <w:rsid w:val="008B3893"/>
    <w:rsid w:val="008B49F7"/>
    <w:rsid w:val="008B5178"/>
    <w:rsid w:val="008C009C"/>
    <w:rsid w:val="008C0101"/>
    <w:rsid w:val="008C2984"/>
    <w:rsid w:val="008C33B0"/>
    <w:rsid w:val="008C3750"/>
    <w:rsid w:val="008C3D75"/>
    <w:rsid w:val="008C4CE6"/>
    <w:rsid w:val="008C6841"/>
    <w:rsid w:val="008C7CE7"/>
    <w:rsid w:val="008D0D21"/>
    <w:rsid w:val="008D0FBE"/>
    <w:rsid w:val="008D13F5"/>
    <w:rsid w:val="008D1FC8"/>
    <w:rsid w:val="008D584D"/>
    <w:rsid w:val="008E0D8E"/>
    <w:rsid w:val="008E16E2"/>
    <w:rsid w:val="008E1E8F"/>
    <w:rsid w:val="008E25F5"/>
    <w:rsid w:val="008E2B35"/>
    <w:rsid w:val="008E3923"/>
    <w:rsid w:val="008E3B3C"/>
    <w:rsid w:val="008E5514"/>
    <w:rsid w:val="008F21D0"/>
    <w:rsid w:val="008F4F74"/>
    <w:rsid w:val="008F5E2C"/>
    <w:rsid w:val="008F6C30"/>
    <w:rsid w:val="00900CA1"/>
    <w:rsid w:val="009017A9"/>
    <w:rsid w:val="00901A59"/>
    <w:rsid w:val="009025E1"/>
    <w:rsid w:val="00903E80"/>
    <w:rsid w:val="00904E93"/>
    <w:rsid w:val="00905D03"/>
    <w:rsid w:val="00905E2D"/>
    <w:rsid w:val="00906F4C"/>
    <w:rsid w:val="0090780F"/>
    <w:rsid w:val="0090784D"/>
    <w:rsid w:val="00911C31"/>
    <w:rsid w:val="00913A3B"/>
    <w:rsid w:val="00915652"/>
    <w:rsid w:val="00916CF1"/>
    <w:rsid w:val="00917A7E"/>
    <w:rsid w:val="009205D3"/>
    <w:rsid w:val="0092143F"/>
    <w:rsid w:val="00921CB7"/>
    <w:rsid w:val="009242D9"/>
    <w:rsid w:val="00925326"/>
    <w:rsid w:val="0092560B"/>
    <w:rsid w:val="00925C30"/>
    <w:rsid w:val="00931122"/>
    <w:rsid w:val="009326C0"/>
    <w:rsid w:val="0093317C"/>
    <w:rsid w:val="00933338"/>
    <w:rsid w:val="00935660"/>
    <w:rsid w:val="00937A93"/>
    <w:rsid w:val="00940459"/>
    <w:rsid w:val="00940B2B"/>
    <w:rsid w:val="00940F48"/>
    <w:rsid w:val="009436B9"/>
    <w:rsid w:val="0094377C"/>
    <w:rsid w:val="00943AB2"/>
    <w:rsid w:val="00943F95"/>
    <w:rsid w:val="00943FDD"/>
    <w:rsid w:val="00944F0F"/>
    <w:rsid w:val="00944F29"/>
    <w:rsid w:val="00945C70"/>
    <w:rsid w:val="0094605A"/>
    <w:rsid w:val="009462A5"/>
    <w:rsid w:val="0094679D"/>
    <w:rsid w:val="009479FC"/>
    <w:rsid w:val="009501D2"/>
    <w:rsid w:val="00950690"/>
    <w:rsid w:val="0095248E"/>
    <w:rsid w:val="00953762"/>
    <w:rsid w:val="00953BAD"/>
    <w:rsid w:val="0095437B"/>
    <w:rsid w:val="00954639"/>
    <w:rsid w:val="00954859"/>
    <w:rsid w:val="009555D4"/>
    <w:rsid w:val="00955BD6"/>
    <w:rsid w:val="00956298"/>
    <w:rsid w:val="00957598"/>
    <w:rsid w:val="00957A47"/>
    <w:rsid w:val="00957D4A"/>
    <w:rsid w:val="009610A2"/>
    <w:rsid w:val="009623FF"/>
    <w:rsid w:val="009645C6"/>
    <w:rsid w:val="00965619"/>
    <w:rsid w:val="00967D51"/>
    <w:rsid w:val="00970DA0"/>
    <w:rsid w:val="00973256"/>
    <w:rsid w:val="00973443"/>
    <w:rsid w:val="009750D2"/>
    <w:rsid w:val="00975AD3"/>
    <w:rsid w:val="009762E7"/>
    <w:rsid w:val="009764EA"/>
    <w:rsid w:val="0097794C"/>
    <w:rsid w:val="00982A2C"/>
    <w:rsid w:val="0098306E"/>
    <w:rsid w:val="00986C51"/>
    <w:rsid w:val="0099230F"/>
    <w:rsid w:val="00993FFC"/>
    <w:rsid w:val="009943EC"/>
    <w:rsid w:val="00994EAA"/>
    <w:rsid w:val="00995F83"/>
    <w:rsid w:val="0099686F"/>
    <w:rsid w:val="00997C4C"/>
    <w:rsid w:val="009A2534"/>
    <w:rsid w:val="009A283F"/>
    <w:rsid w:val="009A2E15"/>
    <w:rsid w:val="009A361F"/>
    <w:rsid w:val="009A54FF"/>
    <w:rsid w:val="009A550B"/>
    <w:rsid w:val="009A653C"/>
    <w:rsid w:val="009B18A2"/>
    <w:rsid w:val="009B25DF"/>
    <w:rsid w:val="009B36FA"/>
    <w:rsid w:val="009B515E"/>
    <w:rsid w:val="009B7908"/>
    <w:rsid w:val="009C0819"/>
    <w:rsid w:val="009C0B95"/>
    <w:rsid w:val="009C0F3F"/>
    <w:rsid w:val="009C1185"/>
    <w:rsid w:val="009C11AA"/>
    <w:rsid w:val="009C47F5"/>
    <w:rsid w:val="009C48AE"/>
    <w:rsid w:val="009C76EC"/>
    <w:rsid w:val="009C7B92"/>
    <w:rsid w:val="009C7C2C"/>
    <w:rsid w:val="009C7C5A"/>
    <w:rsid w:val="009D04C8"/>
    <w:rsid w:val="009D1905"/>
    <w:rsid w:val="009D2287"/>
    <w:rsid w:val="009D23B1"/>
    <w:rsid w:val="009D2571"/>
    <w:rsid w:val="009D3701"/>
    <w:rsid w:val="009D3AB5"/>
    <w:rsid w:val="009D51C5"/>
    <w:rsid w:val="009D5990"/>
    <w:rsid w:val="009D7EC6"/>
    <w:rsid w:val="009E1E1D"/>
    <w:rsid w:val="009E412E"/>
    <w:rsid w:val="009E6099"/>
    <w:rsid w:val="009F062B"/>
    <w:rsid w:val="009F0A38"/>
    <w:rsid w:val="009F0C72"/>
    <w:rsid w:val="009F18C9"/>
    <w:rsid w:val="009F1958"/>
    <w:rsid w:val="009F217E"/>
    <w:rsid w:val="009F4389"/>
    <w:rsid w:val="009F4CB6"/>
    <w:rsid w:val="009F6415"/>
    <w:rsid w:val="009F6785"/>
    <w:rsid w:val="009F67B5"/>
    <w:rsid w:val="009F6F4D"/>
    <w:rsid w:val="00A004C2"/>
    <w:rsid w:val="00A01567"/>
    <w:rsid w:val="00A031D0"/>
    <w:rsid w:val="00A063EC"/>
    <w:rsid w:val="00A068A4"/>
    <w:rsid w:val="00A07712"/>
    <w:rsid w:val="00A10761"/>
    <w:rsid w:val="00A113B7"/>
    <w:rsid w:val="00A11E0E"/>
    <w:rsid w:val="00A128EB"/>
    <w:rsid w:val="00A1320F"/>
    <w:rsid w:val="00A163C2"/>
    <w:rsid w:val="00A17BC7"/>
    <w:rsid w:val="00A2261F"/>
    <w:rsid w:val="00A226E3"/>
    <w:rsid w:val="00A22913"/>
    <w:rsid w:val="00A23417"/>
    <w:rsid w:val="00A241D2"/>
    <w:rsid w:val="00A24533"/>
    <w:rsid w:val="00A248B4"/>
    <w:rsid w:val="00A25B13"/>
    <w:rsid w:val="00A27AA5"/>
    <w:rsid w:val="00A31BC0"/>
    <w:rsid w:val="00A31BDB"/>
    <w:rsid w:val="00A33C31"/>
    <w:rsid w:val="00A33FBE"/>
    <w:rsid w:val="00A344C5"/>
    <w:rsid w:val="00A36312"/>
    <w:rsid w:val="00A3659E"/>
    <w:rsid w:val="00A37DCF"/>
    <w:rsid w:val="00A4079B"/>
    <w:rsid w:val="00A40E41"/>
    <w:rsid w:val="00A41149"/>
    <w:rsid w:val="00A426CF"/>
    <w:rsid w:val="00A42C02"/>
    <w:rsid w:val="00A450EF"/>
    <w:rsid w:val="00A50880"/>
    <w:rsid w:val="00A52D2E"/>
    <w:rsid w:val="00A53FE0"/>
    <w:rsid w:val="00A541B1"/>
    <w:rsid w:val="00A545FC"/>
    <w:rsid w:val="00A55F7F"/>
    <w:rsid w:val="00A5643B"/>
    <w:rsid w:val="00A564AC"/>
    <w:rsid w:val="00A574E0"/>
    <w:rsid w:val="00A577DD"/>
    <w:rsid w:val="00A617EB"/>
    <w:rsid w:val="00A61B1D"/>
    <w:rsid w:val="00A62CB0"/>
    <w:rsid w:val="00A63106"/>
    <w:rsid w:val="00A635EB"/>
    <w:rsid w:val="00A63B1B"/>
    <w:rsid w:val="00A63ECC"/>
    <w:rsid w:val="00A65DD9"/>
    <w:rsid w:val="00A67CFA"/>
    <w:rsid w:val="00A71477"/>
    <w:rsid w:val="00A71808"/>
    <w:rsid w:val="00A73089"/>
    <w:rsid w:val="00A74078"/>
    <w:rsid w:val="00A75D3A"/>
    <w:rsid w:val="00A76CC1"/>
    <w:rsid w:val="00A77AD0"/>
    <w:rsid w:val="00A80B06"/>
    <w:rsid w:val="00A81D1F"/>
    <w:rsid w:val="00A82BED"/>
    <w:rsid w:val="00A82CA5"/>
    <w:rsid w:val="00A837D7"/>
    <w:rsid w:val="00A83BDF"/>
    <w:rsid w:val="00A84338"/>
    <w:rsid w:val="00A84D67"/>
    <w:rsid w:val="00A8511F"/>
    <w:rsid w:val="00A85151"/>
    <w:rsid w:val="00A85F5C"/>
    <w:rsid w:val="00A86E12"/>
    <w:rsid w:val="00A90473"/>
    <w:rsid w:val="00A93006"/>
    <w:rsid w:val="00A93DE7"/>
    <w:rsid w:val="00A9442B"/>
    <w:rsid w:val="00A94D9D"/>
    <w:rsid w:val="00A95828"/>
    <w:rsid w:val="00A95BC9"/>
    <w:rsid w:val="00A96D4E"/>
    <w:rsid w:val="00AA1336"/>
    <w:rsid w:val="00AA17A5"/>
    <w:rsid w:val="00AA238F"/>
    <w:rsid w:val="00AA23C5"/>
    <w:rsid w:val="00AA2FA0"/>
    <w:rsid w:val="00AA311D"/>
    <w:rsid w:val="00AA34C2"/>
    <w:rsid w:val="00AA37FE"/>
    <w:rsid w:val="00AA48E7"/>
    <w:rsid w:val="00AA4D38"/>
    <w:rsid w:val="00AA590A"/>
    <w:rsid w:val="00AA59FE"/>
    <w:rsid w:val="00AA6289"/>
    <w:rsid w:val="00AA7BA0"/>
    <w:rsid w:val="00AB0447"/>
    <w:rsid w:val="00AB08EE"/>
    <w:rsid w:val="00AB0D77"/>
    <w:rsid w:val="00AB0E2D"/>
    <w:rsid w:val="00AB2759"/>
    <w:rsid w:val="00AB3026"/>
    <w:rsid w:val="00AB3238"/>
    <w:rsid w:val="00AB37B7"/>
    <w:rsid w:val="00AB4145"/>
    <w:rsid w:val="00AB496E"/>
    <w:rsid w:val="00AB5068"/>
    <w:rsid w:val="00AB65D3"/>
    <w:rsid w:val="00AC158E"/>
    <w:rsid w:val="00AC1813"/>
    <w:rsid w:val="00AC306F"/>
    <w:rsid w:val="00AC4D5E"/>
    <w:rsid w:val="00AC618A"/>
    <w:rsid w:val="00AC6B52"/>
    <w:rsid w:val="00AC6FAB"/>
    <w:rsid w:val="00AC747D"/>
    <w:rsid w:val="00AC75B4"/>
    <w:rsid w:val="00AC7791"/>
    <w:rsid w:val="00AC7A31"/>
    <w:rsid w:val="00AD00D7"/>
    <w:rsid w:val="00AD0F06"/>
    <w:rsid w:val="00AD1C1C"/>
    <w:rsid w:val="00AD2305"/>
    <w:rsid w:val="00AD27C8"/>
    <w:rsid w:val="00AD283D"/>
    <w:rsid w:val="00AD3240"/>
    <w:rsid w:val="00AD5EBA"/>
    <w:rsid w:val="00AE0E3A"/>
    <w:rsid w:val="00AE1296"/>
    <w:rsid w:val="00AE192F"/>
    <w:rsid w:val="00AE2B05"/>
    <w:rsid w:val="00AE2F00"/>
    <w:rsid w:val="00AE42FE"/>
    <w:rsid w:val="00AE55FF"/>
    <w:rsid w:val="00AF3FC1"/>
    <w:rsid w:val="00AF5048"/>
    <w:rsid w:val="00AF5B85"/>
    <w:rsid w:val="00AF6556"/>
    <w:rsid w:val="00AF71B1"/>
    <w:rsid w:val="00B00181"/>
    <w:rsid w:val="00B011A3"/>
    <w:rsid w:val="00B0130C"/>
    <w:rsid w:val="00B013D7"/>
    <w:rsid w:val="00B01984"/>
    <w:rsid w:val="00B02087"/>
    <w:rsid w:val="00B02983"/>
    <w:rsid w:val="00B02A6B"/>
    <w:rsid w:val="00B02B71"/>
    <w:rsid w:val="00B05354"/>
    <w:rsid w:val="00B063E6"/>
    <w:rsid w:val="00B07305"/>
    <w:rsid w:val="00B117CD"/>
    <w:rsid w:val="00B12B19"/>
    <w:rsid w:val="00B15A95"/>
    <w:rsid w:val="00B17173"/>
    <w:rsid w:val="00B17203"/>
    <w:rsid w:val="00B179A1"/>
    <w:rsid w:val="00B17A51"/>
    <w:rsid w:val="00B17A57"/>
    <w:rsid w:val="00B22282"/>
    <w:rsid w:val="00B227D5"/>
    <w:rsid w:val="00B23D89"/>
    <w:rsid w:val="00B248EA"/>
    <w:rsid w:val="00B251FF"/>
    <w:rsid w:val="00B25D8C"/>
    <w:rsid w:val="00B25E53"/>
    <w:rsid w:val="00B26754"/>
    <w:rsid w:val="00B26C62"/>
    <w:rsid w:val="00B27F3F"/>
    <w:rsid w:val="00B30650"/>
    <w:rsid w:val="00B31B05"/>
    <w:rsid w:val="00B3226E"/>
    <w:rsid w:val="00B338CF"/>
    <w:rsid w:val="00B342A7"/>
    <w:rsid w:val="00B34341"/>
    <w:rsid w:val="00B35B9F"/>
    <w:rsid w:val="00B37A22"/>
    <w:rsid w:val="00B409D0"/>
    <w:rsid w:val="00B40C8D"/>
    <w:rsid w:val="00B42295"/>
    <w:rsid w:val="00B42724"/>
    <w:rsid w:val="00B43810"/>
    <w:rsid w:val="00B440A6"/>
    <w:rsid w:val="00B44CAF"/>
    <w:rsid w:val="00B44E41"/>
    <w:rsid w:val="00B44F71"/>
    <w:rsid w:val="00B45D3F"/>
    <w:rsid w:val="00B45F84"/>
    <w:rsid w:val="00B466C6"/>
    <w:rsid w:val="00B47E56"/>
    <w:rsid w:val="00B5040A"/>
    <w:rsid w:val="00B50D93"/>
    <w:rsid w:val="00B51E42"/>
    <w:rsid w:val="00B52575"/>
    <w:rsid w:val="00B530C6"/>
    <w:rsid w:val="00B5316B"/>
    <w:rsid w:val="00B53182"/>
    <w:rsid w:val="00B5451A"/>
    <w:rsid w:val="00B551C0"/>
    <w:rsid w:val="00B60A3D"/>
    <w:rsid w:val="00B60D1B"/>
    <w:rsid w:val="00B61E2E"/>
    <w:rsid w:val="00B6225C"/>
    <w:rsid w:val="00B627B7"/>
    <w:rsid w:val="00B6292E"/>
    <w:rsid w:val="00B637B2"/>
    <w:rsid w:val="00B657E4"/>
    <w:rsid w:val="00B65EB7"/>
    <w:rsid w:val="00B66C33"/>
    <w:rsid w:val="00B66C3B"/>
    <w:rsid w:val="00B70E8A"/>
    <w:rsid w:val="00B7197D"/>
    <w:rsid w:val="00B73343"/>
    <w:rsid w:val="00B746D0"/>
    <w:rsid w:val="00B75016"/>
    <w:rsid w:val="00B77007"/>
    <w:rsid w:val="00B803BD"/>
    <w:rsid w:val="00B805E4"/>
    <w:rsid w:val="00B80950"/>
    <w:rsid w:val="00B80B7F"/>
    <w:rsid w:val="00B80BAC"/>
    <w:rsid w:val="00B80D1F"/>
    <w:rsid w:val="00B818CB"/>
    <w:rsid w:val="00B82661"/>
    <w:rsid w:val="00B834B0"/>
    <w:rsid w:val="00B85EB6"/>
    <w:rsid w:val="00B86ED5"/>
    <w:rsid w:val="00B87C55"/>
    <w:rsid w:val="00B90339"/>
    <w:rsid w:val="00B904C7"/>
    <w:rsid w:val="00B90EEA"/>
    <w:rsid w:val="00B919C4"/>
    <w:rsid w:val="00B91DD2"/>
    <w:rsid w:val="00B9282E"/>
    <w:rsid w:val="00B9333F"/>
    <w:rsid w:val="00B93E55"/>
    <w:rsid w:val="00B940C8"/>
    <w:rsid w:val="00B94A11"/>
    <w:rsid w:val="00B952C1"/>
    <w:rsid w:val="00B957FF"/>
    <w:rsid w:val="00BA02B1"/>
    <w:rsid w:val="00BA0752"/>
    <w:rsid w:val="00BA6D48"/>
    <w:rsid w:val="00BA6DD4"/>
    <w:rsid w:val="00BA7A06"/>
    <w:rsid w:val="00BB14EF"/>
    <w:rsid w:val="00BB3586"/>
    <w:rsid w:val="00BB3B71"/>
    <w:rsid w:val="00BB3FA7"/>
    <w:rsid w:val="00BB415A"/>
    <w:rsid w:val="00BB53C0"/>
    <w:rsid w:val="00BB55F2"/>
    <w:rsid w:val="00BB6006"/>
    <w:rsid w:val="00BB7D37"/>
    <w:rsid w:val="00BC05EB"/>
    <w:rsid w:val="00BC1724"/>
    <w:rsid w:val="00BC268A"/>
    <w:rsid w:val="00BC2819"/>
    <w:rsid w:val="00BC2B4B"/>
    <w:rsid w:val="00BC2E63"/>
    <w:rsid w:val="00BC3C8F"/>
    <w:rsid w:val="00BC6095"/>
    <w:rsid w:val="00BC6FB6"/>
    <w:rsid w:val="00BC771B"/>
    <w:rsid w:val="00BD03A5"/>
    <w:rsid w:val="00BD0604"/>
    <w:rsid w:val="00BD1C9F"/>
    <w:rsid w:val="00BD31DB"/>
    <w:rsid w:val="00BD36BB"/>
    <w:rsid w:val="00BD3D7F"/>
    <w:rsid w:val="00BD4A30"/>
    <w:rsid w:val="00BD4E04"/>
    <w:rsid w:val="00BD560B"/>
    <w:rsid w:val="00BD6FDC"/>
    <w:rsid w:val="00BD7286"/>
    <w:rsid w:val="00BE01F0"/>
    <w:rsid w:val="00BE0985"/>
    <w:rsid w:val="00BE2B7E"/>
    <w:rsid w:val="00BE2CC6"/>
    <w:rsid w:val="00BE393C"/>
    <w:rsid w:val="00BE4016"/>
    <w:rsid w:val="00BE59D7"/>
    <w:rsid w:val="00BE7976"/>
    <w:rsid w:val="00BF07A7"/>
    <w:rsid w:val="00BF07A8"/>
    <w:rsid w:val="00BF0F66"/>
    <w:rsid w:val="00BF18ED"/>
    <w:rsid w:val="00BF3759"/>
    <w:rsid w:val="00BF66EA"/>
    <w:rsid w:val="00C00227"/>
    <w:rsid w:val="00C00482"/>
    <w:rsid w:val="00C00F4D"/>
    <w:rsid w:val="00C015F7"/>
    <w:rsid w:val="00C03209"/>
    <w:rsid w:val="00C0671F"/>
    <w:rsid w:val="00C10C43"/>
    <w:rsid w:val="00C11CCE"/>
    <w:rsid w:val="00C11EE3"/>
    <w:rsid w:val="00C1480F"/>
    <w:rsid w:val="00C15373"/>
    <w:rsid w:val="00C1651F"/>
    <w:rsid w:val="00C16680"/>
    <w:rsid w:val="00C220FC"/>
    <w:rsid w:val="00C22FAC"/>
    <w:rsid w:val="00C24F7E"/>
    <w:rsid w:val="00C25A36"/>
    <w:rsid w:val="00C2653D"/>
    <w:rsid w:val="00C26605"/>
    <w:rsid w:val="00C27DC5"/>
    <w:rsid w:val="00C31256"/>
    <w:rsid w:val="00C320D5"/>
    <w:rsid w:val="00C320DF"/>
    <w:rsid w:val="00C32F74"/>
    <w:rsid w:val="00C34D4B"/>
    <w:rsid w:val="00C354A3"/>
    <w:rsid w:val="00C36F94"/>
    <w:rsid w:val="00C37CA6"/>
    <w:rsid w:val="00C40810"/>
    <w:rsid w:val="00C40985"/>
    <w:rsid w:val="00C41836"/>
    <w:rsid w:val="00C42012"/>
    <w:rsid w:val="00C45265"/>
    <w:rsid w:val="00C46F8F"/>
    <w:rsid w:val="00C47027"/>
    <w:rsid w:val="00C50805"/>
    <w:rsid w:val="00C508E2"/>
    <w:rsid w:val="00C51197"/>
    <w:rsid w:val="00C519F9"/>
    <w:rsid w:val="00C52352"/>
    <w:rsid w:val="00C52C74"/>
    <w:rsid w:val="00C53A7D"/>
    <w:rsid w:val="00C5448D"/>
    <w:rsid w:val="00C56780"/>
    <w:rsid w:val="00C60517"/>
    <w:rsid w:val="00C606D7"/>
    <w:rsid w:val="00C6077D"/>
    <w:rsid w:val="00C642B8"/>
    <w:rsid w:val="00C64D36"/>
    <w:rsid w:val="00C64D45"/>
    <w:rsid w:val="00C65172"/>
    <w:rsid w:val="00C65AE5"/>
    <w:rsid w:val="00C6791F"/>
    <w:rsid w:val="00C67938"/>
    <w:rsid w:val="00C70135"/>
    <w:rsid w:val="00C71B6A"/>
    <w:rsid w:val="00C7248D"/>
    <w:rsid w:val="00C73553"/>
    <w:rsid w:val="00C7384E"/>
    <w:rsid w:val="00C73954"/>
    <w:rsid w:val="00C75B35"/>
    <w:rsid w:val="00C7728F"/>
    <w:rsid w:val="00C77F09"/>
    <w:rsid w:val="00C815BA"/>
    <w:rsid w:val="00C82653"/>
    <w:rsid w:val="00C82753"/>
    <w:rsid w:val="00C83B59"/>
    <w:rsid w:val="00C83BED"/>
    <w:rsid w:val="00C84F34"/>
    <w:rsid w:val="00C8595C"/>
    <w:rsid w:val="00C8603A"/>
    <w:rsid w:val="00C864C7"/>
    <w:rsid w:val="00C865EE"/>
    <w:rsid w:val="00C86692"/>
    <w:rsid w:val="00C86A0B"/>
    <w:rsid w:val="00C86E80"/>
    <w:rsid w:val="00C87ADC"/>
    <w:rsid w:val="00C87D6C"/>
    <w:rsid w:val="00C91D16"/>
    <w:rsid w:val="00C93084"/>
    <w:rsid w:val="00C93946"/>
    <w:rsid w:val="00C952C9"/>
    <w:rsid w:val="00C96015"/>
    <w:rsid w:val="00C96607"/>
    <w:rsid w:val="00C9739A"/>
    <w:rsid w:val="00CA2022"/>
    <w:rsid w:val="00CA314A"/>
    <w:rsid w:val="00CA355C"/>
    <w:rsid w:val="00CA3762"/>
    <w:rsid w:val="00CA6BEE"/>
    <w:rsid w:val="00CA7178"/>
    <w:rsid w:val="00CA742D"/>
    <w:rsid w:val="00CB1038"/>
    <w:rsid w:val="00CB21CE"/>
    <w:rsid w:val="00CB299A"/>
    <w:rsid w:val="00CB2AC1"/>
    <w:rsid w:val="00CB593E"/>
    <w:rsid w:val="00CC0C90"/>
    <w:rsid w:val="00CC1B2D"/>
    <w:rsid w:val="00CC1F19"/>
    <w:rsid w:val="00CC3799"/>
    <w:rsid w:val="00CC4182"/>
    <w:rsid w:val="00CD039F"/>
    <w:rsid w:val="00CD0A2C"/>
    <w:rsid w:val="00CD0E44"/>
    <w:rsid w:val="00CD0ED1"/>
    <w:rsid w:val="00CD0FCB"/>
    <w:rsid w:val="00CD2C97"/>
    <w:rsid w:val="00CD2FCE"/>
    <w:rsid w:val="00CD7CAF"/>
    <w:rsid w:val="00CD7DA3"/>
    <w:rsid w:val="00CE1507"/>
    <w:rsid w:val="00CE1882"/>
    <w:rsid w:val="00CE2FCC"/>
    <w:rsid w:val="00CE43AA"/>
    <w:rsid w:val="00CE68CF"/>
    <w:rsid w:val="00CE7ECE"/>
    <w:rsid w:val="00CF09CF"/>
    <w:rsid w:val="00CF2D6B"/>
    <w:rsid w:val="00CF306C"/>
    <w:rsid w:val="00CF362C"/>
    <w:rsid w:val="00CF4A36"/>
    <w:rsid w:val="00CF5728"/>
    <w:rsid w:val="00CF5A8A"/>
    <w:rsid w:val="00CF6C9E"/>
    <w:rsid w:val="00D00767"/>
    <w:rsid w:val="00D015B9"/>
    <w:rsid w:val="00D017EC"/>
    <w:rsid w:val="00D02BDD"/>
    <w:rsid w:val="00D02DB0"/>
    <w:rsid w:val="00D04772"/>
    <w:rsid w:val="00D049B1"/>
    <w:rsid w:val="00D05909"/>
    <w:rsid w:val="00D06836"/>
    <w:rsid w:val="00D07205"/>
    <w:rsid w:val="00D07311"/>
    <w:rsid w:val="00D079E6"/>
    <w:rsid w:val="00D10108"/>
    <w:rsid w:val="00D10B57"/>
    <w:rsid w:val="00D11A89"/>
    <w:rsid w:val="00D11D05"/>
    <w:rsid w:val="00D11F4A"/>
    <w:rsid w:val="00D12DE9"/>
    <w:rsid w:val="00D1476E"/>
    <w:rsid w:val="00D15866"/>
    <w:rsid w:val="00D16CC3"/>
    <w:rsid w:val="00D203FC"/>
    <w:rsid w:val="00D2091C"/>
    <w:rsid w:val="00D220C7"/>
    <w:rsid w:val="00D22752"/>
    <w:rsid w:val="00D25724"/>
    <w:rsid w:val="00D25E40"/>
    <w:rsid w:val="00D26BC8"/>
    <w:rsid w:val="00D26E76"/>
    <w:rsid w:val="00D27811"/>
    <w:rsid w:val="00D320A2"/>
    <w:rsid w:val="00D32C28"/>
    <w:rsid w:val="00D32F15"/>
    <w:rsid w:val="00D33C72"/>
    <w:rsid w:val="00D355DE"/>
    <w:rsid w:val="00D35B44"/>
    <w:rsid w:val="00D40912"/>
    <w:rsid w:val="00D40B28"/>
    <w:rsid w:val="00D4103F"/>
    <w:rsid w:val="00D411C6"/>
    <w:rsid w:val="00D41544"/>
    <w:rsid w:val="00D41553"/>
    <w:rsid w:val="00D42557"/>
    <w:rsid w:val="00D42BF8"/>
    <w:rsid w:val="00D439F6"/>
    <w:rsid w:val="00D47B5B"/>
    <w:rsid w:val="00D502B2"/>
    <w:rsid w:val="00D50BBC"/>
    <w:rsid w:val="00D51036"/>
    <w:rsid w:val="00D51D80"/>
    <w:rsid w:val="00D52A99"/>
    <w:rsid w:val="00D53815"/>
    <w:rsid w:val="00D53FC7"/>
    <w:rsid w:val="00D54495"/>
    <w:rsid w:val="00D55960"/>
    <w:rsid w:val="00D600C3"/>
    <w:rsid w:val="00D6043F"/>
    <w:rsid w:val="00D60E01"/>
    <w:rsid w:val="00D61780"/>
    <w:rsid w:val="00D6196E"/>
    <w:rsid w:val="00D622C7"/>
    <w:rsid w:val="00D62B45"/>
    <w:rsid w:val="00D62F5F"/>
    <w:rsid w:val="00D63D03"/>
    <w:rsid w:val="00D64CB9"/>
    <w:rsid w:val="00D64D1F"/>
    <w:rsid w:val="00D64FBA"/>
    <w:rsid w:val="00D65FB3"/>
    <w:rsid w:val="00D667C3"/>
    <w:rsid w:val="00D67208"/>
    <w:rsid w:val="00D6752D"/>
    <w:rsid w:val="00D67544"/>
    <w:rsid w:val="00D67B2D"/>
    <w:rsid w:val="00D67F5C"/>
    <w:rsid w:val="00D700CE"/>
    <w:rsid w:val="00D701B0"/>
    <w:rsid w:val="00D7142E"/>
    <w:rsid w:val="00D720C8"/>
    <w:rsid w:val="00D72491"/>
    <w:rsid w:val="00D72A6E"/>
    <w:rsid w:val="00D73D41"/>
    <w:rsid w:val="00D74905"/>
    <w:rsid w:val="00D74CA4"/>
    <w:rsid w:val="00D754C5"/>
    <w:rsid w:val="00D75B18"/>
    <w:rsid w:val="00D75DE5"/>
    <w:rsid w:val="00D7653A"/>
    <w:rsid w:val="00D803D3"/>
    <w:rsid w:val="00D8068E"/>
    <w:rsid w:val="00D80B3C"/>
    <w:rsid w:val="00D81D82"/>
    <w:rsid w:val="00D82614"/>
    <w:rsid w:val="00D830DC"/>
    <w:rsid w:val="00D84923"/>
    <w:rsid w:val="00D86DEA"/>
    <w:rsid w:val="00D86EA1"/>
    <w:rsid w:val="00D8743E"/>
    <w:rsid w:val="00D90761"/>
    <w:rsid w:val="00D90B4C"/>
    <w:rsid w:val="00D92025"/>
    <w:rsid w:val="00D9630E"/>
    <w:rsid w:val="00D96E6E"/>
    <w:rsid w:val="00D97738"/>
    <w:rsid w:val="00DA2D25"/>
    <w:rsid w:val="00DA3897"/>
    <w:rsid w:val="00DA45EF"/>
    <w:rsid w:val="00DA4F1C"/>
    <w:rsid w:val="00DA5C9E"/>
    <w:rsid w:val="00DA75F9"/>
    <w:rsid w:val="00DB1796"/>
    <w:rsid w:val="00DB769F"/>
    <w:rsid w:val="00DC12C2"/>
    <w:rsid w:val="00DC31DB"/>
    <w:rsid w:val="00DC38F5"/>
    <w:rsid w:val="00DC3B16"/>
    <w:rsid w:val="00DC4757"/>
    <w:rsid w:val="00DC6705"/>
    <w:rsid w:val="00DC7DC8"/>
    <w:rsid w:val="00DC7EDD"/>
    <w:rsid w:val="00DD0261"/>
    <w:rsid w:val="00DD0FED"/>
    <w:rsid w:val="00DD1C26"/>
    <w:rsid w:val="00DD3288"/>
    <w:rsid w:val="00DD3867"/>
    <w:rsid w:val="00DD4821"/>
    <w:rsid w:val="00DD63F9"/>
    <w:rsid w:val="00DD6510"/>
    <w:rsid w:val="00DD65FC"/>
    <w:rsid w:val="00DD75B0"/>
    <w:rsid w:val="00DE1617"/>
    <w:rsid w:val="00DE3253"/>
    <w:rsid w:val="00DE3321"/>
    <w:rsid w:val="00DE35A2"/>
    <w:rsid w:val="00DE478A"/>
    <w:rsid w:val="00DE4FC7"/>
    <w:rsid w:val="00DE56A7"/>
    <w:rsid w:val="00DE6FF8"/>
    <w:rsid w:val="00DE7F79"/>
    <w:rsid w:val="00DF1C64"/>
    <w:rsid w:val="00DF1CB8"/>
    <w:rsid w:val="00DF1E68"/>
    <w:rsid w:val="00DF4366"/>
    <w:rsid w:val="00DF6A90"/>
    <w:rsid w:val="00E00F91"/>
    <w:rsid w:val="00E03F80"/>
    <w:rsid w:val="00E041E6"/>
    <w:rsid w:val="00E04569"/>
    <w:rsid w:val="00E13EEA"/>
    <w:rsid w:val="00E1439C"/>
    <w:rsid w:val="00E145DC"/>
    <w:rsid w:val="00E151DF"/>
    <w:rsid w:val="00E15865"/>
    <w:rsid w:val="00E17D91"/>
    <w:rsid w:val="00E21AD1"/>
    <w:rsid w:val="00E24AAF"/>
    <w:rsid w:val="00E25E89"/>
    <w:rsid w:val="00E309AF"/>
    <w:rsid w:val="00E30EE6"/>
    <w:rsid w:val="00E320A9"/>
    <w:rsid w:val="00E32173"/>
    <w:rsid w:val="00E34063"/>
    <w:rsid w:val="00E34450"/>
    <w:rsid w:val="00E3475E"/>
    <w:rsid w:val="00E34852"/>
    <w:rsid w:val="00E34EFD"/>
    <w:rsid w:val="00E34F36"/>
    <w:rsid w:val="00E36BE3"/>
    <w:rsid w:val="00E36D77"/>
    <w:rsid w:val="00E36D80"/>
    <w:rsid w:val="00E3751E"/>
    <w:rsid w:val="00E37FA7"/>
    <w:rsid w:val="00E42147"/>
    <w:rsid w:val="00E42F81"/>
    <w:rsid w:val="00E44DF7"/>
    <w:rsid w:val="00E455F9"/>
    <w:rsid w:val="00E456A9"/>
    <w:rsid w:val="00E4574B"/>
    <w:rsid w:val="00E45E2E"/>
    <w:rsid w:val="00E46575"/>
    <w:rsid w:val="00E50979"/>
    <w:rsid w:val="00E5115E"/>
    <w:rsid w:val="00E51DA2"/>
    <w:rsid w:val="00E5775A"/>
    <w:rsid w:val="00E60127"/>
    <w:rsid w:val="00E60CE1"/>
    <w:rsid w:val="00E60E11"/>
    <w:rsid w:val="00E64763"/>
    <w:rsid w:val="00E66839"/>
    <w:rsid w:val="00E67940"/>
    <w:rsid w:val="00E70F28"/>
    <w:rsid w:val="00E73B91"/>
    <w:rsid w:val="00E749B2"/>
    <w:rsid w:val="00E760D8"/>
    <w:rsid w:val="00E830BF"/>
    <w:rsid w:val="00E8557E"/>
    <w:rsid w:val="00E865CC"/>
    <w:rsid w:val="00E90CBF"/>
    <w:rsid w:val="00E91E85"/>
    <w:rsid w:val="00E923B1"/>
    <w:rsid w:val="00E9299E"/>
    <w:rsid w:val="00E93C20"/>
    <w:rsid w:val="00E94CDF"/>
    <w:rsid w:val="00E97D49"/>
    <w:rsid w:val="00EA0077"/>
    <w:rsid w:val="00EA056D"/>
    <w:rsid w:val="00EA0B28"/>
    <w:rsid w:val="00EA0CA0"/>
    <w:rsid w:val="00EA2748"/>
    <w:rsid w:val="00EA4C4F"/>
    <w:rsid w:val="00EA4F4A"/>
    <w:rsid w:val="00EA555B"/>
    <w:rsid w:val="00EA6AB3"/>
    <w:rsid w:val="00EB1C06"/>
    <w:rsid w:val="00EB2B2E"/>
    <w:rsid w:val="00EB31F0"/>
    <w:rsid w:val="00EB4C31"/>
    <w:rsid w:val="00EB52F7"/>
    <w:rsid w:val="00EB65F0"/>
    <w:rsid w:val="00EB6C66"/>
    <w:rsid w:val="00EB7604"/>
    <w:rsid w:val="00EC040A"/>
    <w:rsid w:val="00EC20E3"/>
    <w:rsid w:val="00EC2E52"/>
    <w:rsid w:val="00EC30F4"/>
    <w:rsid w:val="00EC4182"/>
    <w:rsid w:val="00EC6A2C"/>
    <w:rsid w:val="00EC701E"/>
    <w:rsid w:val="00ED091B"/>
    <w:rsid w:val="00ED1ACF"/>
    <w:rsid w:val="00ED48E3"/>
    <w:rsid w:val="00ED6174"/>
    <w:rsid w:val="00EE0AD1"/>
    <w:rsid w:val="00EE23B3"/>
    <w:rsid w:val="00EE2651"/>
    <w:rsid w:val="00EE2BB2"/>
    <w:rsid w:val="00EE3392"/>
    <w:rsid w:val="00EE347E"/>
    <w:rsid w:val="00EE3A84"/>
    <w:rsid w:val="00EE4606"/>
    <w:rsid w:val="00EE47F6"/>
    <w:rsid w:val="00EE4AF2"/>
    <w:rsid w:val="00EF02BB"/>
    <w:rsid w:val="00EF0342"/>
    <w:rsid w:val="00EF0826"/>
    <w:rsid w:val="00EF1578"/>
    <w:rsid w:val="00EF1F7C"/>
    <w:rsid w:val="00EF2B31"/>
    <w:rsid w:val="00EF3052"/>
    <w:rsid w:val="00EF4E62"/>
    <w:rsid w:val="00EF6B73"/>
    <w:rsid w:val="00EF7102"/>
    <w:rsid w:val="00EF740D"/>
    <w:rsid w:val="00EF7AEF"/>
    <w:rsid w:val="00F01DCC"/>
    <w:rsid w:val="00F01F27"/>
    <w:rsid w:val="00F0257F"/>
    <w:rsid w:val="00F0289F"/>
    <w:rsid w:val="00F02EED"/>
    <w:rsid w:val="00F0395E"/>
    <w:rsid w:val="00F04E20"/>
    <w:rsid w:val="00F076E1"/>
    <w:rsid w:val="00F10E87"/>
    <w:rsid w:val="00F1228D"/>
    <w:rsid w:val="00F129BF"/>
    <w:rsid w:val="00F139B2"/>
    <w:rsid w:val="00F15592"/>
    <w:rsid w:val="00F15DDE"/>
    <w:rsid w:val="00F15EC3"/>
    <w:rsid w:val="00F16A95"/>
    <w:rsid w:val="00F17707"/>
    <w:rsid w:val="00F179C0"/>
    <w:rsid w:val="00F20C3E"/>
    <w:rsid w:val="00F20FC4"/>
    <w:rsid w:val="00F2180D"/>
    <w:rsid w:val="00F2181A"/>
    <w:rsid w:val="00F2206A"/>
    <w:rsid w:val="00F2255B"/>
    <w:rsid w:val="00F23EF0"/>
    <w:rsid w:val="00F2492B"/>
    <w:rsid w:val="00F25249"/>
    <w:rsid w:val="00F2647D"/>
    <w:rsid w:val="00F26699"/>
    <w:rsid w:val="00F26E23"/>
    <w:rsid w:val="00F278AA"/>
    <w:rsid w:val="00F279F4"/>
    <w:rsid w:val="00F30A81"/>
    <w:rsid w:val="00F31EF1"/>
    <w:rsid w:val="00F322A5"/>
    <w:rsid w:val="00F32776"/>
    <w:rsid w:val="00F32B6C"/>
    <w:rsid w:val="00F3406B"/>
    <w:rsid w:val="00F34AA7"/>
    <w:rsid w:val="00F34C7E"/>
    <w:rsid w:val="00F34FAD"/>
    <w:rsid w:val="00F35319"/>
    <w:rsid w:val="00F366B7"/>
    <w:rsid w:val="00F4126E"/>
    <w:rsid w:val="00F41C5D"/>
    <w:rsid w:val="00F41D6E"/>
    <w:rsid w:val="00F429EB"/>
    <w:rsid w:val="00F43EC4"/>
    <w:rsid w:val="00F45007"/>
    <w:rsid w:val="00F46733"/>
    <w:rsid w:val="00F46DDF"/>
    <w:rsid w:val="00F47B45"/>
    <w:rsid w:val="00F50955"/>
    <w:rsid w:val="00F51976"/>
    <w:rsid w:val="00F519A6"/>
    <w:rsid w:val="00F51B02"/>
    <w:rsid w:val="00F5266C"/>
    <w:rsid w:val="00F527AE"/>
    <w:rsid w:val="00F53B47"/>
    <w:rsid w:val="00F54653"/>
    <w:rsid w:val="00F60D90"/>
    <w:rsid w:val="00F61CAD"/>
    <w:rsid w:val="00F61F26"/>
    <w:rsid w:val="00F64210"/>
    <w:rsid w:val="00F6485C"/>
    <w:rsid w:val="00F7137A"/>
    <w:rsid w:val="00F71EA2"/>
    <w:rsid w:val="00F739F9"/>
    <w:rsid w:val="00F743F0"/>
    <w:rsid w:val="00F74E3C"/>
    <w:rsid w:val="00F8121F"/>
    <w:rsid w:val="00F8151B"/>
    <w:rsid w:val="00F8176D"/>
    <w:rsid w:val="00F836F1"/>
    <w:rsid w:val="00F83FDD"/>
    <w:rsid w:val="00F849A8"/>
    <w:rsid w:val="00F84ABD"/>
    <w:rsid w:val="00F85111"/>
    <w:rsid w:val="00F87381"/>
    <w:rsid w:val="00F910B1"/>
    <w:rsid w:val="00F9374B"/>
    <w:rsid w:val="00F93C2B"/>
    <w:rsid w:val="00F94434"/>
    <w:rsid w:val="00F94B6E"/>
    <w:rsid w:val="00F95810"/>
    <w:rsid w:val="00F95B9F"/>
    <w:rsid w:val="00F960DE"/>
    <w:rsid w:val="00F96E6E"/>
    <w:rsid w:val="00FA013D"/>
    <w:rsid w:val="00FA0406"/>
    <w:rsid w:val="00FA0D86"/>
    <w:rsid w:val="00FA134E"/>
    <w:rsid w:val="00FA2B9B"/>
    <w:rsid w:val="00FA35B0"/>
    <w:rsid w:val="00FA4199"/>
    <w:rsid w:val="00FA5BD3"/>
    <w:rsid w:val="00FA6620"/>
    <w:rsid w:val="00FB0F03"/>
    <w:rsid w:val="00FB16E9"/>
    <w:rsid w:val="00FB1C8C"/>
    <w:rsid w:val="00FB231C"/>
    <w:rsid w:val="00FB3116"/>
    <w:rsid w:val="00FB3E51"/>
    <w:rsid w:val="00FB54BD"/>
    <w:rsid w:val="00FB6ECB"/>
    <w:rsid w:val="00FB70FC"/>
    <w:rsid w:val="00FB731C"/>
    <w:rsid w:val="00FC1014"/>
    <w:rsid w:val="00FC15B0"/>
    <w:rsid w:val="00FC20E9"/>
    <w:rsid w:val="00FC2E84"/>
    <w:rsid w:val="00FC4060"/>
    <w:rsid w:val="00FC4564"/>
    <w:rsid w:val="00FC6404"/>
    <w:rsid w:val="00FC670A"/>
    <w:rsid w:val="00FC68A1"/>
    <w:rsid w:val="00FC72F4"/>
    <w:rsid w:val="00FC7A19"/>
    <w:rsid w:val="00FC7AB6"/>
    <w:rsid w:val="00FC7DD4"/>
    <w:rsid w:val="00FD10CD"/>
    <w:rsid w:val="00FD54C5"/>
    <w:rsid w:val="00FD5B4D"/>
    <w:rsid w:val="00FE04E2"/>
    <w:rsid w:val="00FE0F87"/>
    <w:rsid w:val="00FE0FC9"/>
    <w:rsid w:val="00FE119F"/>
    <w:rsid w:val="00FE1826"/>
    <w:rsid w:val="00FE2632"/>
    <w:rsid w:val="00FE2E63"/>
    <w:rsid w:val="00FE39E3"/>
    <w:rsid w:val="00FE605B"/>
    <w:rsid w:val="00FE6A9C"/>
    <w:rsid w:val="00FE70C8"/>
    <w:rsid w:val="00FE737D"/>
    <w:rsid w:val="00FF01BF"/>
    <w:rsid w:val="00FF100C"/>
    <w:rsid w:val="00FF2C30"/>
    <w:rsid w:val="00FF30CA"/>
    <w:rsid w:val="00FF3354"/>
    <w:rsid w:val="00FF35D6"/>
    <w:rsid w:val="00FF3F0A"/>
    <w:rsid w:val="00FF5650"/>
    <w:rsid w:val="00FF64E0"/>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039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28D"/>
    <w:pPr>
      <w:spacing w:after="0" w:line="240" w:lineRule="auto"/>
    </w:pPr>
    <w:rPr>
      <w:rFonts w:ascii="Times New Roman" w:eastAsia="Times New Roman" w:hAnsi="Times New Roman" w:cs="Times New Roman"/>
      <w:sz w:val="26"/>
      <w:szCs w:val="24"/>
    </w:rPr>
  </w:style>
  <w:style w:type="paragraph" w:styleId="Heading1">
    <w:name w:val="heading 1"/>
    <w:basedOn w:val="Normal"/>
    <w:link w:val="Heading1Char"/>
    <w:uiPriority w:val="1"/>
    <w:qFormat/>
    <w:rsid w:val="00217769"/>
    <w:pPr>
      <w:widowControl w:val="0"/>
      <w:autoSpaceDE w:val="0"/>
      <w:autoSpaceDN w:val="0"/>
      <w:spacing w:before="124"/>
      <w:ind w:left="1469" w:hanging="282"/>
      <w:jc w:val="both"/>
      <w:outlineLvl w:val="0"/>
    </w:pPr>
    <w:rPr>
      <w:b/>
      <w:bCs/>
      <w:sz w:val="28"/>
      <w:szCs w:val="28"/>
    </w:rPr>
  </w:style>
  <w:style w:type="paragraph" w:styleId="Heading3">
    <w:name w:val="heading 3"/>
    <w:basedOn w:val="Normal"/>
    <w:next w:val="Normal"/>
    <w:link w:val="Heading3Char"/>
    <w:uiPriority w:val="9"/>
    <w:semiHidden/>
    <w:unhideWhenUsed/>
    <w:qFormat/>
    <w:rsid w:val="006247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8669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A515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2028D"/>
    <w:pPr>
      <w:ind w:firstLine="720"/>
      <w:jc w:val="both"/>
    </w:pPr>
    <w:rPr>
      <w:color w:val="0000FF"/>
      <w:sz w:val="20"/>
      <w:szCs w:val="28"/>
    </w:rPr>
  </w:style>
  <w:style w:type="character" w:customStyle="1" w:styleId="BodyTextIndentChar">
    <w:name w:val="Body Text Indent Char"/>
    <w:basedOn w:val="DefaultParagraphFont"/>
    <w:link w:val="BodyTextIndent"/>
    <w:rsid w:val="0052028D"/>
    <w:rPr>
      <w:rFonts w:ascii="Times New Roman" w:eastAsia="Times New Roman" w:hAnsi="Times New Roman" w:cs="Times New Roman"/>
      <w:color w:val="0000FF"/>
      <w:sz w:val="20"/>
      <w:szCs w:val="28"/>
    </w:rPr>
  </w:style>
  <w:style w:type="paragraph" w:styleId="NoSpacing">
    <w:name w:val="No Spacing"/>
    <w:qFormat/>
    <w:rsid w:val="0052028D"/>
    <w:pPr>
      <w:spacing w:after="0" w:line="240" w:lineRule="auto"/>
    </w:pPr>
    <w:rPr>
      <w:rFonts w:ascii="Times New Roman" w:eastAsia="Times New Roman" w:hAnsi="Times New Roman" w:cs="Times New Roman"/>
      <w:sz w:val="28"/>
    </w:rPr>
  </w:style>
  <w:style w:type="paragraph" w:styleId="NormalWeb">
    <w:name w:val="Normal (Web)"/>
    <w:basedOn w:val="Normal"/>
    <w:link w:val="NormalWebChar"/>
    <w:uiPriority w:val="99"/>
    <w:unhideWhenUsed/>
    <w:rsid w:val="0052028D"/>
    <w:pPr>
      <w:spacing w:before="100" w:beforeAutospacing="1" w:after="100" w:afterAutospacing="1"/>
    </w:pPr>
    <w:rPr>
      <w:sz w:val="24"/>
    </w:rPr>
  </w:style>
  <w:style w:type="character" w:customStyle="1" w:styleId="NormalWebChar">
    <w:name w:val="Normal (Web) Char"/>
    <w:link w:val="NormalWeb"/>
    <w:uiPriority w:val="99"/>
    <w:rsid w:val="0052028D"/>
    <w:rPr>
      <w:rFonts w:ascii="Times New Roman" w:eastAsia="Times New Roman" w:hAnsi="Times New Roman" w:cs="Times New Roman"/>
      <w:sz w:val="24"/>
      <w:szCs w:val="24"/>
    </w:rPr>
  </w:style>
  <w:style w:type="character" w:customStyle="1" w:styleId="Bodytext">
    <w:name w:val="Body text_"/>
    <w:basedOn w:val="DefaultParagraphFont"/>
    <w:link w:val="BodyText1"/>
    <w:rsid w:val="0052028D"/>
    <w:rPr>
      <w:rFonts w:eastAsia="Times New Roman"/>
      <w:sz w:val="26"/>
      <w:szCs w:val="26"/>
      <w:shd w:val="clear" w:color="auto" w:fill="FFFFFF"/>
    </w:rPr>
  </w:style>
  <w:style w:type="character" w:customStyle="1" w:styleId="Heading10">
    <w:name w:val="Heading #1_"/>
    <w:basedOn w:val="DefaultParagraphFont"/>
    <w:link w:val="Heading11"/>
    <w:rsid w:val="0052028D"/>
    <w:rPr>
      <w:rFonts w:eastAsia="Times New Roman"/>
      <w:b/>
      <w:bCs/>
      <w:sz w:val="26"/>
      <w:szCs w:val="26"/>
      <w:shd w:val="clear" w:color="auto" w:fill="FFFFFF"/>
    </w:rPr>
  </w:style>
  <w:style w:type="paragraph" w:customStyle="1" w:styleId="BodyText1">
    <w:name w:val="Body Text1"/>
    <w:basedOn w:val="Normal"/>
    <w:link w:val="Bodytext"/>
    <w:qFormat/>
    <w:rsid w:val="0052028D"/>
    <w:pPr>
      <w:widowControl w:val="0"/>
      <w:shd w:val="clear" w:color="auto" w:fill="FFFFFF"/>
      <w:spacing w:after="100" w:line="259" w:lineRule="auto"/>
      <w:ind w:firstLine="400"/>
    </w:pPr>
    <w:rPr>
      <w:rFonts w:asciiTheme="minorHAnsi" w:hAnsiTheme="minorHAnsi" w:cstheme="minorBidi"/>
      <w:szCs w:val="26"/>
    </w:rPr>
  </w:style>
  <w:style w:type="paragraph" w:customStyle="1" w:styleId="Heading11">
    <w:name w:val="Heading #1"/>
    <w:basedOn w:val="Normal"/>
    <w:link w:val="Heading10"/>
    <w:rsid w:val="0052028D"/>
    <w:pPr>
      <w:widowControl w:val="0"/>
      <w:shd w:val="clear" w:color="auto" w:fill="FFFFFF"/>
      <w:spacing w:after="100" w:line="259" w:lineRule="auto"/>
      <w:ind w:firstLine="620"/>
      <w:outlineLvl w:val="0"/>
    </w:pPr>
    <w:rPr>
      <w:rFonts w:asciiTheme="minorHAnsi" w:hAnsiTheme="minorHAnsi" w:cstheme="minorBidi"/>
      <w:b/>
      <w:bCs/>
      <w:szCs w:val="26"/>
    </w:rPr>
  </w:style>
  <w:style w:type="paragraph" w:styleId="Header">
    <w:name w:val="header"/>
    <w:basedOn w:val="Normal"/>
    <w:link w:val="HeaderChar"/>
    <w:uiPriority w:val="99"/>
    <w:unhideWhenUsed/>
    <w:rsid w:val="0052028D"/>
    <w:pPr>
      <w:tabs>
        <w:tab w:val="center" w:pos="4680"/>
        <w:tab w:val="right" w:pos="9360"/>
      </w:tabs>
    </w:pPr>
  </w:style>
  <w:style w:type="character" w:customStyle="1" w:styleId="HeaderChar">
    <w:name w:val="Header Char"/>
    <w:basedOn w:val="DefaultParagraphFont"/>
    <w:link w:val="Header"/>
    <w:uiPriority w:val="99"/>
    <w:rsid w:val="0052028D"/>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52028D"/>
    <w:pPr>
      <w:tabs>
        <w:tab w:val="center" w:pos="4680"/>
        <w:tab w:val="right" w:pos="9360"/>
      </w:tabs>
    </w:pPr>
  </w:style>
  <w:style w:type="character" w:customStyle="1" w:styleId="FooterChar">
    <w:name w:val="Footer Char"/>
    <w:basedOn w:val="DefaultParagraphFont"/>
    <w:link w:val="Footer"/>
    <w:uiPriority w:val="99"/>
    <w:rsid w:val="0052028D"/>
    <w:rPr>
      <w:rFonts w:ascii="Times New Roman" w:eastAsia="Times New Roman" w:hAnsi="Times New Roman" w:cs="Times New Roman"/>
      <w:sz w:val="26"/>
      <w:szCs w:val="24"/>
    </w:rPr>
  </w:style>
  <w:style w:type="character" w:customStyle="1" w:styleId="Tablecaption">
    <w:name w:val="Table caption_"/>
    <w:basedOn w:val="DefaultParagraphFont"/>
    <w:link w:val="Tablecaption0"/>
    <w:rsid w:val="00D25E40"/>
    <w:rPr>
      <w:rFonts w:ascii="Times New Roman" w:eastAsia="Times New Roman" w:hAnsi="Times New Roman" w:cs="Times New Roman"/>
      <w:b/>
      <w:bCs/>
      <w:shd w:val="clear" w:color="auto" w:fill="FFFFFF"/>
    </w:rPr>
  </w:style>
  <w:style w:type="paragraph" w:customStyle="1" w:styleId="Tablecaption0">
    <w:name w:val="Table caption"/>
    <w:basedOn w:val="Normal"/>
    <w:link w:val="Tablecaption"/>
    <w:rsid w:val="00D25E40"/>
    <w:pPr>
      <w:widowControl w:val="0"/>
      <w:shd w:val="clear" w:color="auto" w:fill="FFFFFF"/>
      <w:spacing w:line="269" w:lineRule="auto"/>
    </w:pPr>
    <w:rPr>
      <w:b/>
      <w:bCs/>
      <w:sz w:val="22"/>
      <w:szCs w:val="22"/>
    </w:rPr>
  </w:style>
  <w:style w:type="character" w:customStyle="1" w:styleId="Other">
    <w:name w:val="Other_"/>
    <w:basedOn w:val="DefaultParagraphFont"/>
    <w:link w:val="Other0"/>
    <w:rsid w:val="00D25E40"/>
    <w:rPr>
      <w:rFonts w:ascii="Times New Roman" w:eastAsia="Times New Roman" w:hAnsi="Times New Roman" w:cs="Times New Roman"/>
      <w:sz w:val="26"/>
      <w:szCs w:val="26"/>
      <w:shd w:val="clear" w:color="auto" w:fill="FFFFFF"/>
    </w:rPr>
  </w:style>
  <w:style w:type="paragraph" w:customStyle="1" w:styleId="Other0">
    <w:name w:val="Other"/>
    <w:basedOn w:val="Normal"/>
    <w:link w:val="Other"/>
    <w:rsid w:val="00D25E40"/>
    <w:pPr>
      <w:widowControl w:val="0"/>
      <w:shd w:val="clear" w:color="auto" w:fill="FFFFFF"/>
      <w:spacing w:after="100" w:line="259" w:lineRule="auto"/>
      <w:ind w:firstLine="400"/>
    </w:pPr>
    <w:rPr>
      <w:szCs w:val="26"/>
    </w:rPr>
  </w:style>
  <w:style w:type="character" w:customStyle="1" w:styleId="Bodytext2">
    <w:name w:val="Body text (2)_"/>
    <w:basedOn w:val="DefaultParagraphFont"/>
    <w:link w:val="Bodytext20"/>
    <w:rsid w:val="00081B6C"/>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081B6C"/>
    <w:pPr>
      <w:widowControl w:val="0"/>
      <w:shd w:val="clear" w:color="auto" w:fill="FFFFFF"/>
      <w:spacing w:after="100" w:line="259" w:lineRule="auto"/>
      <w:ind w:firstLine="580"/>
    </w:pPr>
    <w:rPr>
      <w:szCs w:val="26"/>
    </w:rPr>
  </w:style>
  <w:style w:type="character" w:customStyle="1" w:styleId="fontstyle01">
    <w:name w:val="fontstyle01"/>
    <w:basedOn w:val="DefaultParagraphFont"/>
    <w:rsid w:val="000C0D99"/>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0C0D99"/>
    <w:rPr>
      <w:rFonts w:ascii="VNTime" w:hAnsi="VNTime" w:hint="default"/>
      <w:b w:val="0"/>
      <w:bCs w:val="0"/>
      <w:i w:val="0"/>
      <w:iCs w:val="0"/>
      <w:color w:val="000000"/>
      <w:sz w:val="28"/>
      <w:szCs w:val="28"/>
    </w:rPr>
  </w:style>
  <w:style w:type="character" w:customStyle="1" w:styleId="fontstyle31">
    <w:name w:val="fontstyle31"/>
    <w:basedOn w:val="DefaultParagraphFont"/>
    <w:rsid w:val="00561B99"/>
    <w:rPr>
      <w:rFonts w:ascii="VNTime" w:hAnsi="VNTime" w:hint="default"/>
      <w:b w:val="0"/>
      <w:bCs w:val="0"/>
      <w:i w:val="0"/>
      <w:iCs w:val="0"/>
      <w:color w:val="000000"/>
      <w:sz w:val="28"/>
      <w:szCs w:val="28"/>
    </w:rPr>
  </w:style>
  <w:style w:type="paragraph" w:styleId="ListParagraph">
    <w:name w:val="List Paragraph"/>
    <w:basedOn w:val="Normal"/>
    <w:uiPriority w:val="34"/>
    <w:qFormat/>
    <w:rsid w:val="00BA02B1"/>
    <w:pPr>
      <w:ind w:left="720"/>
      <w:contextualSpacing/>
    </w:pPr>
  </w:style>
  <w:style w:type="character" w:customStyle="1" w:styleId="Headerorfooter2">
    <w:name w:val="Header or footer (2)_"/>
    <w:basedOn w:val="DefaultParagraphFont"/>
    <w:link w:val="Headerorfooter20"/>
    <w:rsid w:val="003476D2"/>
    <w:rPr>
      <w:rFonts w:ascii="Times New Roman" w:eastAsia="Times New Roman" w:hAnsi="Times New Roman" w:cs="Times New Roman"/>
      <w:sz w:val="20"/>
      <w:szCs w:val="20"/>
      <w:shd w:val="clear" w:color="auto" w:fill="FFFFFF"/>
    </w:rPr>
  </w:style>
  <w:style w:type="paragraph" w:customStyle="1" w:styleId="Headerorfooter20">
    <w:name w:val="Header or footer (2)"/>
    <w:basedOn w:val="Normal"/>
    <w:link w:val="Headerorfooter2"/>
    <w:rsid w:val="003476D2"/>
    <w:pPr>
      <w:widowControl w:val="0"/>
      <w:shd w:val="clear" w:color="auto" w:fill="FFFFFF"/>
    </w:pPr>
    <w:rPr>
      <w:sz w:val="20"/>
      <w:szCs w:val="20"/>
    </w:rPr>
  </w:style>
  <w:style w:type="character" w:customStyle="1" w:styleId="Vnbnnidung">
    <w:name w:val="Văn bản nội dung_"/>
    <w:basedOn w:val="DefaultParagraphFont"/>
    <w:link w:val="Vnbnnidung0"/>
    <w:rsid w:val="006E0DA4"/>
    <w:rPr>
      <w:rFonts w:ascii="Times New Roman" w:eastAsia="Times New Roman" w:hAnsi="Times New Roman" w:cs="Times New Roman"/>
      <w:sz w:val="28"/>
      <w:szCs w:val="28"/>
    </w:rPr>
  </w:style>
  <w:style w:type="paragraph" w:customStyle="1" w:styleId="Vnbnnidung0">
    <w:name w:val="Văn bản nội dung"/>
    <w:basedOn w:val="Normal"/>
    <w:link w:val="Vnbnnidung"/>
    <w:rsid w:val="006E0DA4"/>
    <w:pPr>
      <w:widowControl w:val="0"/>
      <w:spacing w:after="120"/>
      <w:ind w:firstLine="400"/>
    </w:pPr>
    <w:rPr>
      <w:sz w:val="28"/>
      <w:szCs w:val="28"/>
    </w:rPr>
  </w:style>
  <w:style w:type="character" w:customStyle="1" w:styleId="Vnbnnidung3">
    <w:name w:val="Văn bản nội dung (3)_"/>
    <w:basedOn w:val="DefaultParagraphFont"/>
    <w:link w:val="Vnbnnidung30"/>
    <w:rsid w:val="006E0DA4"/>
    <w:rPr>
      <w:rFonts w:ascii="Arial" w:eastAsia="Arial" w:hAnsi="Arial" w:cs="Arial"/>
      <w:smallCaps/>
      <w:color w:val="DC0403"/>
      <w:sz w:val="28"/>
      <w:szCs w:val="28"/>
      <w:lang w:bidi="en-US"/>
    </w:rPr>
  </w:style>
  <w:style w:type="paragraph" w:customStyle="1" w:styleId="Vnbnnidung30">
    <w:name w:val="Văn bản nội dung (3)"/>
    <w:basedOn w:val="Normal"/>
    <w:link w:val="Vnbnnidung3"/>
    <w:rsid w:val="006E0DA4"/>
    <w:pPr>
      <w:widowControl w:val="0"/>
    </w:pPr>
    <w:rPr>
      <w:rFonts w:ascii="Arial" w:eastAsia="Arial" w:hAnsi="Arial" w:cs="Arial"/>
      <w:smallCaps/>
      <w:color w:val="DC0403"/>
      <w:sz w:val="28"/>
      <w:szCs w:val="28"/>
      <w:lang w:bidi="en-US"/>
    </w:rPr>
  </w:style>
  <w:style w:type="character" w:customStyle="1" w:styleId="utranghocchntrang2">
    <w:name w:val="Đầu trang hoặc chân trang (2)_"/>
    <w:basedOn w:val="DefaultParagraphFont"/>
    <w:link w:val="utranghocchntrang20"/>
    <w:rsid w:val="00FF100C"/>
    <w:rPr>
      <w:rFonts w:ascii="Times New Roman" w:eastAsia="Times New Roman" w:hAnsi="Times New Roman" w:cs="Times New Roman"/>
      <w:sz w:val="20"/>
      <w:szCs w:val="20"/>
      <w:lang w:bidi="en-US"/>
    </w:rPr>
  </w:style>
  <w:style w:type="paragraph" w:customStyle="1" w:styleId="utranghocchntrang20">
    <w:name w:val="Đầu trang hoặc chân trang (2)"/>
    <w:basedOn w:val="Normal"/>
    <w:link w:val="utranghocchntrang2"/>
    <w:rsid w:val="00FF100C"/>
    <w:pPr>
      <w:widowControl w:val="0"/>
    </w:pPr>
    <w:rPr>
      <w:sz w:val="20"/>
      <w:szCs w:val="20"/>
      <w:lang w:bidi="en-US"/>
    </w:rPr>
  </w:style>
  <w:style w:type="paragraph" w:styleId="BodyText0">
    <w:name w:val="Body Text"/>
    <w:basedOn w:val="Normal"/>
    <w:link w:val="BodyTextChar"/>
    <w:uiPriority w:val="99"/>
    <w:unhideWhenUsed/>
    <w:rsid w:val="00217769"/>
    <w:pPr>
      <w:spacing w:after="120"/>
    </w:pPr>
  </w:style>
  <w:style w:type="character" w:customStyle="1" w:styleId="BodyTextChar">
    <w:name w:val="Body Text Char"/>
    <w:basedOn w:val="DefaultParagraphFont"/>
    <w:link w:val="BodyText0"/>
    <w:uiPriority w:val="99"/>
    <w:rsid w:val="00217769"/>
    <w:rPr>
      <w:rFonts w:ascii="Times New Roman" w:eastAsia="Times New Roman" w:hAnsi="Times New Roman" w:cs="Times New Roman"/>
      <w:sz w:val="26"/>
      <w:szCs w:val="24"/>
    </w:rPr>
  </w:style>
  <w:style w:type="character" w:customStyle="1" w:styleId="Heading1Char">
    <w:name w:val="Heading 1 Char"/>
    <w:basedOn w:val="DefaultParagraphFont"/>
    <w:link w:val="Heading1"/>
    <w:uiPriority w:val="1"/>
    <w:rsid w:val="00217769"/>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CB1038"/>
    <w:rPr>
      <w:rFonts w:ascii="Tahoma" w:hAnsi="Tahoma" w:cs="Tahoma"/>
      <w:sz w:val="16"/>
      <w:szCs w:val="16"/>
    </w:rPr>
  </w:style>
  <w:style w:type="character" w:customStyle="1" w:styleId="BalloonTextChar">
    <w:name w:val="Balloon Text Char"/>
    <w:basedOn w:val="DefaultParagraphFont"/>
    <w:link w:val="BalloonText"/>
    <w:uiPriority w:val="99"/>
    <w:semiHidden/>
    <w:rsid w:val="00CB1038"/>
    <w:rPr>
      <w:rFonts w:ascii="Tahoma" w:eastAsia="Times New Roman" w:hAnsi="Tahoma" w:cs="Tahoma"/>
      <w:sz w:val="16"/>
      <w:szCs w:val="16"/>
    </w:rPr>
  </w:style>
  <w:style w:type="paragraph" w:styleId="FootnoteText">
    <w:name w:val="footnote text"/>
    <w:basedOn w:val="Normal"/>
    <w:link w:val="FootnoteTextChar"/>
    <w:uiPriority w:val="99"/>
    <w:unhideWhenUsed/>
    <w:qFormat/>
    <w:rsid w:val="00B70E8A"/>
    <w:rPr>
      <w:sz w:val="20"/>
      <w:szCs w:val="20"/>
    </w:rPr>
  </w:style>
  <w:style w:type="character" w:customStyle="1" w:styleId="FootnoteTextChar">
    <w:name w:val="Footnote Text Char"/>
    <w:basedOn w:val="DefaultParagraphFont"/>
    <w:link w:val="FootnoteText"/>
    <w:uiPriority w:val="99"/>
    <w:qFormat/>
    <w:rsid w:val="00B70E8A"/>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B70E8A"/>
    <w:rPr>
      <w:vertAlign w:val="superscript"/>
    </w:rPr>
  </w:style>
  <w:style w:type="character" w:customStyle="1" w:styleId="Heading4Char">
    <w:name w:val="Heading 4 Char"/>
    <w:basedOn w:val="DefaultParagraphFont"/>
    <w:link w:val="Heading4"/>
    <w:uiPriority w:val="9"/>
    <w:semiHidden/>
    <w:rsid w:val="00C86692"/>
    <w:rPr>
      <w:rFonts w:asciiTheme="majorHAnsi" w:eastAsiaTheme="majorEastAsia" w:hAnsiTheme="majorHAnsi" w:cstheme="majorBidi"/>
      <w:b/>
      <w:bCs/>
      <w:i/>
      <w:iCs/>
      <w:color w:val="4F81BD" w:themeColor="accent1"/>
      <w:sz w:val="26"/>
      <w:szCs w:val="24"/>
    </w:rPr>
  </w:style>
  <w:style w:type="character" w:customStyle="1" w:styleId="Heading5Char">
    <w:name w:val="Heading 5 Char"/>
    <w:basedOn w:val="DefaultParagraphFont"/>
    <w:link w:val="Heading5"/>
    <w:uiPriority w:val="9"/>
    <w:semiHidden/>
    <w:rsid w:val="007A515F"/>
    <w:rPr>
      <w:rFonts w:asciiTheme="majorHAnsi" w:eastAsiaTheme="majorEastAsia" w:hAnsiTheme="majorHAnsi" w:cstheme="majorBidi"/>
      <w:color w:val="243F60" w:themeColor="accent1" w:themeShade="7F"/>
      <w:sz w:val="26"/>
      <w:szCs w:val="24"/>
    </w:rPr>
  </w:style>
  <w:style w:type="character" w:customStyle="1" w:styleId="Heading3Char">
    <w:name w:val="Heading 3 Char"/>
    <w:basedOn w:val="DefaultParagraphFont"/>
    <w:link w:val="Heading3"/>
    <w:uiPriority w:val="9"/>
    <w:semiHidden/>
    <w:rsid w:val="00624736"/>
    <w:rPr>
      <w:rFonts w:asciiTheme="majorHAnsi" w:eastAsiaTheme="majorEastAsia" w:hAnsiTheme="majorHAnsi" w:cstheme="majorBidi"/>
      <w:b/>
      <w:bCs/>
      <w:color w:val="4F81BD" w:themeColor="accent1"/>
      <w:sz w:val="26"/>
      <w:szCs w:val="24"/>
    </w:rPr>
  </w:style>
  <w:style w:type="character" w:styleId="Hyperlink">
    <w:name w:val="Hyperlink"/>
    <w:basedOn w:val="DefaultParagraphFont"/>
    <w:uiPriority w:val="99"/>
    <w:semiHidden/>
    <w:unhideWhenUsed/>
    <w:rsid w:val="00624736"/>
    <w:rPr>
      <w:color w:val="0000FF"/>
      <w:u w:val="single"/>
    </w:rPr>
  </w:style>
  <w:style w:type="paragraph" w:customStyle="1" w:styleId="BodyText21">
    <w:name w:val="Body Text2"/>
    <w:basedOn w:val="Normal"/>
    <w:qFormat/>
    <w:rsid w:val="00426B5A"/>
    <w:pPr>
      <w:widowControl w:val="0"/>
      <w:shd w:val="clear" w:color="auto" w:fill="FFFFFF"/>
      <w:spacing w:after="120"/>
      <w:ind w:firstLine="400"/>
    </w:pPr>
    <w:rPr>
      <w:sz w:val="28"/>
      <w:szCs w:val="28"/>
    </w:rPr>
  </w:style>
  <w:style w:type="character" w:styleId="FollowedHyperlink">
    <w:name w:val="FollowedHyperlink"/>
    <w:basedOn w:val="DefaultParagraphFont"/>
    <w:uiPriority w:val="99"/>
    <w:semiHidden/>
    <w:unhideWhenUsed/>
    <w:rsid w:val="00916CF1"/>
    <w:rPr>
      <w:color w:val="800080"/>
      <w:u w:val="single"/>
    </w:rPr>
  </w:style>
  <w:style w:type="paragraph" w:customStyle="1" w:styleId="font5">
    <w:name w:val="font5"/>
    <w:basedOn w:val="Normal"/>
    <w:rsid w:val="00916CF1"/>
    <w:pPr>
      <w:spacing w:before="100" w:beforeAutospacing="1" w:after="100" w:afterAutospacing="1"/>
    </w:pPr>
    <w:rPr>
      <w:color w:val="000000"/>
      <w:sz w:val="20"/>
      <w:szCs w:val="20"/>
    </w:rPr>
  </w:style>
  <w:style w:type="paragraph" w:customStyle="1" w:styleId="font6">
    <w:name w:val="font6"/>
    <w:basedOn w:val="Normal"/>
    <w:rsid w:val="00916CF1"/>
    <w:pPr>
      <w:spacing w:before="100" w:beforeAutospacing="1" w:after="100" w:afterAutospacing="1"/>
    </w:pPr>
    <w:rPr>
      <w:color w:val="000000"/>
      <w:sz w:val="20"/>
      <w:szCs w:val="20"/>
    </w:rPr>
  </w:style>
  <w:style w:type="paragraph" w:customStyle="1" w:styleId="font7">
    <w:name w:val="font7"/>
    <w:basedOn w:val="Normal"/>
    <w:rsid w:val="00916CF1"/>
    <w:pPr>
      <w:spacing w:before="100" w:beforeAutospacing="1" w:after="100" w:afterAutospacing="1"/>
    </w:pPr>
    <w:rPr>
      <w:b/>
      <w:bCs/>
      <w:color w:val="000000"/>
      <w:sz w:val="20"/>
      <w:szCs w:val="20"/>
    </w:rPr>
  </w:style>
  <w:style w:type="paragraph" w:customStyle="1" w:styleId="xl63">
    <w:name w:val="xl63"/>
    <w:basedOn w:val="Normal"/>
    <w:rsid w:val="00916CF1"/>
    <w:pPr>
      <w:shd w:val="clear" w:color="000000" w:fill="FFFFFF"/>
      <w:spacing w:before="100" w:beforeAutospacing="1" w:after="100" w:afterAutospacing="1"/>
      <w:jc w:val="center"/>
    </w:pPr>
    <w:rPr>
      <w:b/>
      <w:bCs/>
      <w:szCs w:val="26"/>
    </w:rPr>
  </w:style>
  <w:style w:type="paragraph" w:customStyle="1" w:styleId="xl64">
    <w:name w:val="xl64"/>
    <w:basedOn w:val="Normal"/>
    <w:rsid w:val="00916CF1"/>
    <w:pPr>
      <w:shd w:val="clear" w:color="000000" w:fill="FFFFFF"/>
      <w:spacing w:before="100" w:beforeAutospacing="1" w:after="100" w:afterAutospacing="1"/>
    </w:pPr>
    <w:rPr>
      <w:szCs w:val="26"/>
    </w:rPr>
  </w:style>
  <w:style w:type="paragraph" w:customStyle="1" w:styleId="xl65">
    <w:name w:val="xl65"/>
    <w:basedOn w:val="Normal"/>
    <w:rsid w:val="00916CF1"/>
    <w:pPr>
      <w:shd w:val="clear" w:color="000000" w:fill="FFFFFF"/>
      <w:spacing w:before="100" w:beforeAutospacing="1" w:after="100" w:afterAutospacing="1"/>
    </w:pPr>
    <w:rPr>
      <w:szCs w:val="26"/>
    </w:rPr>
  </w:style>
  <w:style w:type="paragraph" w:customStyle="1" w:styleId="xl66">
    <w:name w:val="xl66"/>
    <w:basedOn w:val="Normal"/>
    <w:rsid w:val="00916CF1"/>
    <w:pPr>
      <w:shd w:val="clear" w:color="000000" w:fill="FFFFFF"/>
      <w:spacing w:before="100" w:beforeAutospacing="1" w:after="100" w:afterAutospacing="1"/>
    </w:pPr>
    <w:rPr>
      <w:szCs w:val="26"/>
    </w:rPr>
  </w:style>
  <w:style w:type="paragraph" w:customStyle="1" w:styleId="xl67">
    <w:name w:val="xl67"/>
    <w:basedOn w:val="Normal"/>
    <w:rsid w:val="00916CF1"/>
    <w:pPr>
      <w:shd w:val="clear" w:color="000000" w:fill="FFFFFF"/>
      <w:spacing w:before="100" w:beforeAutospacing="1" w:after="100" w:afterAutospacing="1"/>
      <w:jc w:val="center"/>
    </w:pPr>
    <w:rPr>
      <w:b/>
      <w:bCs/>
      <w:i/>
      <w:iCs/>
      <w:szCs w:val="26"/>
    </w:rPr>
  </w:style>
  <w:style w:type="paragraph" w:customStyle="1" w:styleId="xl68">
    <w:name w:val="xl68"/>
    <w:basedOn w:val="Normal"/>
    <w:rsid w:val="00916CF1"/>
    <w:pPr>
      <w:shd w:val="clear" w:color="000000" w:fill="FFFFFF"/>
      <w:spacing w:before="100" w:beforeAutospacing="1" w:after="100" w:afterAutospacing="1"/>
    </w:pPr>
    <w:rPr>
      <w:rFonts w:ascii="Calibri" w:hAnsi="Calibri" w:cs="Calibri"/>
      <w:szCs w:val="26"/>
    </w:rPr>
  </w:style>
  <w:style w:type="paragraph" w:customStyle="1" w:styleId="xl69">
    <w:name w:val="xl69"/>
    <w:basedOn w:val="Normal"/>
    <w:rsid w:val="00916CF1"/>
    <w:pPr>
      <w:shd w:val="clear" w:color="000000" w:fill="FFFFFF"/>
      <w:spacing w:before="100" w:beforeAutospacing="1" w:after="100" w:afterAutospacing="1"/>
      <w:jc w:val="center"/>
      <w:textAlignment w:val="center"/>
    </w:pPr>
    <w:rPr>
      <w:b/>
      <w:bCs/>
      <w:szCs w:val="26"/>
    </w:rPr>
  </w:style>
  <w:style w:type="paragraph" w:customStyle="1" w:styleId="xl70">
    <w:name w:val="xl70"/>
    <w:basedOn w:val="Normal"/>
    <w:rsid w:val="00916CF1"/>
    <w:pPr>
      <w:shd w:val="clear" w:color="000000" w:fill="FFFFFF"/>
      <w:spacing w:before="100" w:beforeAutospacing="1" w:after="100" w:afterAutospacing="1"/>
      <w:jc w:val="center"/>
      <w:textAlignment w:val="center"/>
    </w:pPr>
    <w:rPr>
      <w:i/>
      <w:iCs/>
      <w:szCs w:val="26"/>
    </w:rPr>
  </w:style>
  <w:style w:type="paragraph" w:customStyle="1" w:styleId="xl71">
    <w:name w:val="xl71"/>
    <w:basedOn w:val="Normal"/>
    <w:rsid w:val="00916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2">
    <w:name w:val="xl72"/>
    <w:basedOn w:val="Normal"/>
    <w:rsid w:val="00916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3">
    <w:name w:val="xl73"/>
    <w:basedOn w:val="Normal"/>
    <w:rsid w:val="00916CF1"/>
    <w:pPr>
      <w:shd w:val="clear" w:color="000000" w:fill="FFFFFF"/>
      <w:spacing w:before="100" w:beforeAutospacing="1" w:after="100" w:afterAutospacing="1"/>
    </w:pPr>
    <w:rPr>
      <w:sz w:val="24"/>
    </w:rPr>
  </w:style>
  <w:style w:type="paragraph" w:customStyle="1" w:styleId="xl74">
    <w:name w:val="xl74"/>
    <w:basedOn w:val="Normal"/>
    <w:rsid w:val="00916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Normal"/>
    <w:rsid w:val="00916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6">
    <w:name w:val="xl76"/>
    <w:basedOn w:val="Normal"/>
    <w:rsid w:val="00916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7">
    <w:name w:val="xl77"/>
    <w:basedOn w:val="Normal"/>
    <w:rsid w:val="00916CF1"/>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sz w:val="20"/>
      <w:szCs w:val="20"/>
    </w:rPr>
  </w:style>
  <w:style w:type="paragraph" w:customStyle="1" w:styleId="xl78">
    <w:name w:val="xl78"/>
    <w:basedOn w:val="Normal"/>
    <w:rsid w:val="00916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9">
    <w:name w:val="xl79"/>
    <w:basedOn w:val="Normal"/>
    <w:rsid w:val="00916CF1"/>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80">
    <w:name w:val="xl80"/>
    <w:basedOn w:val="Normal"/>
    <w:rsid w:val="00916CF1"/>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81">
    <w:name w:val="xl81"/>
    <w:basedOn w:val="Normal"/>
    <w:rsid w:val="00916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82">
    <w:name w:val="xl82"/>
    <w:basedOn w:val="Normal"/>
    <w:rsid w:val="00916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83">
    <w:name w:val="xl83"/>
    <w:basedOn w:val="Normal"/>
    <w:rsid w:val="00916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84">
    <w:name w:val="xl84"/>
    <w:basedOn w:val="Normal"/>
    <w:rsid w:val="00916C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Normal"/>
    <w:rsid w:val="00916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rPr>
  </w:style>
  <w:style w:type="paragraph" w:customStyle="1" w:styleId="xl86">
    <w:name w:val="xl86"/>
    <w:basedOn w:val="Normal"/>
    <w:rsid w:val="00916CF1"/>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7">
    <w:name w:val="xl87"/>
    <w:basedOn w:val="Normal"/>
    <w:rsid w:val="00916C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Normal"/>
    <w:rsid w:val="00916C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9">
    <w:name w:val="xl89"/>
    <w:basedOn w:val="Normal"/>
    <w:rsid w:val="00916C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0">
    <w:name w:val="xl90"/>
    <w:basedOn w:val="Normal"/>
    <w:rsid w:val="00916CF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91">
    <w:name w:val="xl91"/>
    <w:basedOn w:val="Normal"/>
    <w:rsid w:val="00916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rPr>
  </w:style>
  <w:style w:type="paragraph" w:customStyle="1" w:styleId="xl92">
    <w:name w:val="xl92"/>
    <w:basedOn w:val="Normal"/>
    <w:rsid w:val="00916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rPr>
  </w:style>
  <w:style w:type="paragraph" w:customStyle="1" w:styleId="xl93">
    <w:name w:val="xl93"/>
    <w:basedOn w:val="Normal"/>
    <w:rsid w:val="00916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94">
    <w:name w:val="xl94"/>
    <w:basedOn w:val="Normal"/>
    <w:rsid w:val="00916CF1"/>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Normal"/>
    <w:rsid w:val="00916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96">
    <w:name w:val="xl96"/>
    <w:basedOn w:val="Normal"/>
    <w:rsid w:val="00916CF1"/>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Normal"/>
    <w:rsid w:val="00916CF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98">
    <w:name w:val="xl98"/>
    <w:basedOn w:val="Normal"/>
    <w:rsid w:val="00916CF1"/>
    <w:pPr>
      <w:pBdr>
        <w:top w:val="single" w:sz="4"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9">
    <w:name w:val="xl99"/>
    <w:basedOn w:val="Normal"/>
    <w:rsid w:val="00916CF1"/>
    <w:pPr>
      <w:pBdr>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0">
    <w:name w:val="xl100"/>
    <w:basedOn w:val="Normal"/>
    <w:rsid w:val="00916C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1">
    <w:name w:val="xl101"/>
    <w:basedOn w:val="Normal"/>
    <w:rsid w:val="00916CF1"/>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2">
    <w:name w:val="xl102"/>
    <w:basedOn w:val="Normal"/>
    <w:rsid w:val="00916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3">
    <w:name w:val="xl103"/>
    <w:basedOn w:val="Normal"/>
    <w:rsid w:val="00916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104">
    <w:name w:val="xl104"/>
    <w:basedOn w:val="Normal"/>
    <w:rsid w:val="00916C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5">
    <w:name w:val="xl105"/>
    <w:basedOn w:val="Normal"/>
    <w:rsid w:val="00916CF1"/>
    <w:pPr>
      <w:shd w:val="clear" w:color="000000" w:fill="FFFFFF"/>
      <w:spacing w:before="100" w:beforeAutospacing="1" w:after="100" w:afterAutospacing="1"/>
    </w:pPr>
    <w:rPr>
      <w:sz w:val="24"/>
    </w:rPr>
  </w:style>
  <w:style w:type="paragraph" w:customStyle="1" w:styleId="xl106">
    <w:name w:val="xl106"/>
    <w:basedOn w:val="Normal"/>
    <w:rsid w:val="00916CF1"/>
    <w:pPr>
      <w:shd w:val="clear" w:color="000000" w:fill="FFFFFF"/>
      <w:spacing w:before="100" w:beforeAutospacing="1" w:after="100" w:afterAutospacing="1"/>
    </w:pPr>
    <w:rPr>
      <w:sz w:val="22"/>
      <w:szCs w:val="22"/>
    </w:rPr>
  </w:style>
  <w:style w:type="paragraph" w:customStyle="1" w:styleId="xl107">
    <w:name w:val="xl107"/>
    <w:basedOn w:val="Normal"/>
    <w:rsid w:val="00916CF1"/>
    <w:pPr>
      <w:shd w:val="clear" w:color="000000" w:fill="FFFFFF"/>
      <w:spacing w:before="100" w:beforeAutospacing="1" w:after="100" w:afterAutospacing="1"/>
    </w:pPr>
    <w:rPr>
      <w:sz w:val="22"/>
      <w:szCs w:val="22"/>
    </w:rPr>
  </w:style>
  <w:style w:type="paragraph" w:customStyle="1" w:styleId="xl108">
    <w:name w:val="xl108"/>
    <w:basedOn w:val="Normal"/>
    <w:rsid w:val="00916CF1"/>
    <w:pPr>
      <w:shd w:val="clear" w:color="000000" w:fill="FFFFFF"/>
      <w:spacing w:before="100" w:beforeAutospacing="1" w:after="100" w:afterAutospacing="1"/>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2407">
      <w:bodyDiv w:val="1"/>
      <w:marLeft w:val="0"/>
      <w:marRight w:val="0"/>
      <w:marTop w:val="0"/>
      <w:marBottom w:val="0"/>
      <w:divBdr>
        <w:top w:val="none" w:sz="0" w:space="0" w:color="auto"/>
        <w:left w:val="none" w:sz="0" w:space="0" w:color="auto"/>
        <w:bottom w:val="none" w:sz="0" w:space="0" w:color="auto"/>
        <w:right w:val="none" w:sz="0" w:space="0" w:color="auto"/>
      </w:divBdr>
    </w:div>
    <w:div w:id="303390805">
      <w:bodyDiv w:val="1"/>
      <w:marLeft w:val="0"/>
      <w:marRight w:val="0"/>
      <w:marTop w:val="0"/>
      <w:marBottom w:val="0"/>
      <w:divBdr>
        <w:top w:val="none" w:sz="0" w:space="0" w:color="auto"/>
        <w:left w:val="none" w:sz="0" w:space="0" w:color="auto"/>
        <w:bottom w:val="none" w:sz="0" w:space="0" w:color="auto"/>
        <w:right w:val="none" w:sz="0" w:space="0" w:color="auto"/>
      </w:divBdr>
    </w:div>
    <w:div w:id="355926856">
      <w:bodyDiv w:val="1"/>
      <w:marLeft w:val="0"/>
      <w:marRight w:val="0"/>
      <w:marTop w:val="0"/>
      <w:marBottom w:val="0"/>
      <w:divBdr>
        <w:top w:val="none" w:sz="0" w:space="0" w:color="auto"/>
        <w:left w:val="none" w:sz="0" w:space="0" w:color="auto"/>
        <w:bottom w:val="none" w:sz="0" w:space="0" w:color="auto"/>
        <w:right w:val="none" w:sz="0" w:space="0" w:color="auto"/>
      </w:divBdr>
    </w:div>
    <w:div w:id="691077694">
      <w:bodyDiv w:val="1"/>
      <w:marLeft w:val="0"/>
      <w:marRight w:val="0"/>
      <w:marTop w:val="0"/>
      <w:marBottom w:val="0"/>
      <w:divBdr>
        <w:top w:val="none" w:sz="0" w:space="0" w:color="auto"/>
        <w:left w:val="none" w:sz="0" w:space="0" w:color="auto"/>
        <w:bottom w:val="none" w:sz="0" w:space="0" w:color="auto"/>
        <w:right w:val="none" w:sz="0" w:space="0" w:color="auto"/>
      </w:divBdr>
    </w:div>
    <w:div w:id="1152215237">
      <w:bodyDiv w:val="1"/>
      <w:marLeft w:val="0"/>
      <w:marRight w:val="0"/>
      <w:marTop w:val="0"/>
      <w:marBottom w:val="0"/>
      <w:divBdr>
        <w:top w:val="none" w:sz="0" w:space="0" w:color="auto"/>
        <w:left w:val="none" w:sz="0" w:space="0" w:color="auto"/>
        <w:bottom w:val="none" w:sz="0" w:space="0" w:color="auto"/>
        <w:right w:val="none" w:sz="0" w:space="0" w:color="auto"/>
      </w:divBdr>
    </w:div>
    <w:div w:id="1155026550">
      <w:bodyDiv w:val="1"/>
      <w:marLeft w:val="0"/>
      <w:marRight w:val="0"/>
      <w:marTop w:val="0"/>
      <w:marBottom w:val="0"/>
      <w:divBdr>
        <w:top w:val="none" w:sz="0" w:space="0" w:color="auto"/>
        <w:left w:val="none" w:sz="0" w:space="0" w:color="auto"/>
        <w:bottom w:val="none" w:sz="0" w:space="0" w:color="auto"/>
        <w:right w:val="none" w:sz="0" w:space="0" w:color="auto"/>
      </w:divBdr>
    </w:div>
    <w:div w:id="130989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38" b="1" i="0" u="none" strike="noStrike" baseline="0">
                <a:solidFill>
                  <a:srgbClr val="FF0000"/>
                </a:solidFill>
                <a:latin typeface="Calibri"/>
                <a:ea typeface="Calibri"/>
                <a:cs typeface="Calibri"/>
              </a:defRPr>
            </a:pPr>
            <a:r>
              <a:rPr lang="vi-VN"/>
              <a:t>Chỉ số giá tiêu dùng tháng 6 năm 2025 so với tháng trước (%)</a:t>
            </a:r>
          </a:p>
        </c:rich>
      </c:tx>
      <c:layout>
        <c:manualLayout>
          <c:xMode val="edge"/>
          <c:yMode val="edge"/>
          <c:x val="0.23860542432195975"/>
          <c:y val="3.4482758620689655E-2"/>
        </c:manualLayout>
      </c:layout>
      <c:overlay val="0"/>
      <c:spPr>
        <a:noFill/>
        <a:ln w="26200">
          <a:noFill/>
        </a:ln>
      </c:spPr>
    </c:title>
    <c:autoTitleDeleted val="0"/>
    <c:plotArea>
      <c:layout/>
      <c:lineChart>
        <c:grouping val="standard"/>
        <c:varyColors val="0"/>
        <c:ser>
          <c:idx val="0"/>
          <c:order val="0"/>
          <c:tx>
            <c:strRef>
              <c:f>Sheet3!$B$10</c:f>
              <c:strCache>
                <c:ptCount val="1"/>
                <c:pt idx="0">
                  <c:v>Tháng trước</c:v>
                </c:pt>
              </c:strCache>
            </c:strRef>
          </c:tx>
          <c:spPr>
            <a:ln w="19650" cap="rnd">
              <a:solidFill>
                <a:schemeClr val="accent1"/>
              </a:solidFill>
              <a:round/>
            </a:ln>
            <a:effectLst/>
          </c:spPr>
          <c:marker>
            <c:symbol val="circle"/>
            <c:size val="5"/>
            <c:spPr>
              <a:solidFill>
                <a:schemeClr val="accent1"/>
              </a:solidFill>
              <a:ln w="9825">
                <a:solidFill>
                  <a:schemeClr val="accent1"/>
                </a:solidFill>
              </a:ln>
              <a:effectLst/>
            </c:spPr>
          </c:marker>
          <c:dLbls>
            <c:dLbl>
              <c:idx val="0"/>
              <c:layout>
                <c:manualLayout>
                  <c:x val="-5.3230616443214869E-2"/>
                  <c:y val="-5.1189981074324167E-2"/>
                </c:manualLayout>
              </c:layout>
              <c:spPr>
                <a:noFill/>
                <a:ln w="26200">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804-45A7-8425-030CC774C52F}"/>
                </c:ext>
              </c:extLst>
            </c:dLbl>
            <c:dLbl>
              <c:idx val="1"/>
              <c:layout>
                <c:manualLayout>
                  <c:x val="-5.5396940247333992E-2"/>
                  <c:y val="5.2843913798608928E-2"/>
                </c:manualLayout>
              </c:layout>
              <c:spPr>
                <a:noFill/>
                <a:ln w="26200">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804-45A7-8425-030CC774C52F}"/>
                </c:ext>
              </c:extLst>
            </c:dLbl>
            <c:dLbl>
              <c:idx val="2"/>
              <c:layout>
                <c:manualLayout>
                  <c:x val="-5.76576576576577E-2"/>
                  <c:y val="-4.723350234039736E-2"/>
                </c:manualLayout>
              </c:layout>
              <c:spPr>
                <a:noFill/>
                <a:ln w="26200">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804-45A7-8425-030CC774C52F}"/>
                </c:ext>
              </c:extLst>
            </c:dLbl>
            <c:dLbl>
              <c:idx val="3"/>
              <c:layout>
                <c:manualLayout>
                  <c:x val="-5.7657657657657659E-2"/>
                  <c:y val="4.5391403225932068E-2"/>
                </c:manualLayout>
              </c:layout>
              <c:spPr>
                <a:noFill/>
                <a:ln w="26200">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804-45A7-8425-030CC774C52F}"/>
                </c:ext>
              </c:extLst>
            </c:dLbl>
            <c:dLbl>
              <c:idx val="4"/>
              <c:layout>
                <c:manualLayout>
                  <c:x val="-5.8176917074554871E-2"/>
                  <c:y val="-4.4930956330755389E-2"/>
                </c:manualLayout>
              </c:layout>
              <c:spPr>
                <a:noFill/>
                <a:ln w="26200">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804-45A7-8425-030CC774C52F}"/>
                </c:ext>
              </c:extLst>
            </c:dLbl>
            <c:dLbl>
              <c:idx val="5"/>
              <c:layout>
                <c:manualLayout>
                  <c:x val="-6.9882102575015967E-2"/>
                  <c:y val="4.272249351620365E-2"/>
                </c:manualLayout>
              </c:layout>
              <c:spPr>
                <a:noFill/>
                <a:ln w="26200">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804-45A7-8425-030CC774C52F}"/>
                </c:ext>
              </c:extLst>
            </c:dLbl>
            <c:dLbl>
              <c:idx val="6"/>
              <c:layout>
                <c:manualLayout>
                  <c:x val="-7.0188929086566876E-2"/>
                  <c:y val="-6.7043934048303305E-2"/>
                </c:manualLayout>
              </c:layout>
              <c:spPr>
                <a:noFill/>
                <a:ln w="26200">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804-45A7-8425-030CC774C52F}"/>
                </c:ext>
              </c:extLst>
            </c:dLbl>
            <c:dLbl>
              <c:idx val="7"/>
              <c:layout>
                <c:manualLayout>
                  <c:x val="-3.8816108685104316E-2"/>
                  <c:y val="-7.08502024291498E-2"/>
                </c:manualLayout>
              </c:layout>
              <c:spPr>
                <a:noFill/>
                <a:ln w="26200">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804-45A7-8425-030CC774C52F}"/>
                </c:ext>
              </c:extLst>
            </c:dLbl>
            <c:dLbl>
              <c:idx val="8"/>
              <c:layout>
                <c:manualLayout>
                  <c:x val="-9.1645409188716276E-2"/>
                  <c:y val="3.3738171452603959E-2"/>
                </c:manualLayout>
              </c:layout>
              <c:spPr>
                <a:noFill/>
                <a:ln w="26200">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804-45A7-8425-030CC774C52F}"/>
                </c:ext>
              </c:extLst>
            </c:dLbl>
            <c:dLbl>
              <c:idx val="9"/>
              <c:layout>
                <c:manualLayout>
                  <c:x val="-9.1291291291291293E-2"/>
                  <c:y val="-4.3521266073194932E-2"/>
                </c:manualLayout>
              </c:layout>
              <c:spPr>
                <a:noFill/>
                <a:ln w="26200">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804-45A7-8425-030CC774C52F}"/>
                </c:ext>
              </c:extLst>
            </c:dLbl>
            <c:dLbl>
              <c:idx val="10"/>
              <c:layout>
                <c:manualLayout>
                  <c:x val="-5.5420396774727661E-2"/>
                  <c:y val="-4.3859591735009459E-2"/>
                </c:manualLayout>
              </c:layout>
              <c:spPr>
                <a:noFill/>
                <a:ln w="26200">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2804-45A7-8425-030CC774C52F}"/>
                </c:ext>
              </c:extLst>
            </c:dLbl>
            <c:dLbl>
              <c:idx val="11"/>
              <c:layout>
                <c:manualLayout>
                  <c:x val="-5.0662883355796919E-2"/>
                  <c:y val="4.0946439558556667E-2"/>
                </c:manualLayout>
              </c:layout>
              <c:spPr>
                <a:noFill/>
                <a:ln w="26200">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2804-45A7-8425-030CC774C52F}"/>
                </c:ext>
              </c:extLst>
            </c:dLbl>
            <c:dLbl>
              <c:idx val="12"/>
              <c:layout>
                <c:manualLayout>
                  <c:x val="-2.8805183135891796E-2"/>
                  <c:y val="4.2111575815634246E-2"/>
                </c:manualLayout>
              </c:layout>
              <c:spPr>
                <a:noFill/>
                <a:ln w="26200">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2804-45A7-8425-030CC774C52F}"/>
                </c:ext>
              </c:extLst>
            </c:dLbl>
            <c:dLbl>
              <c:idx val="13"/>
              <c:layout>
                <c:manualLayout>
                  <c:x val="-3.1467309829514553E-2"/>
                  <c:y val="-5.223299609803967E-2"/>
                </c:manualLayout>
              </c:layout>
              <c:spPr>
                <a:noFill/>
                <a:ln w="26200">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2804-45A7-8425-030CC774C52F}"/>
                </c:ext>
              </c:extLst>
            </c:dLbl>
            <c:spPr>
              <a:noFill/>
              <a:ln w="26200">
                <a:noFill/>
              </a:ln>
            </c:spPr>
            <c:txPr>
              <a:bodyPr wrap="square" lIns="38100" tIns="19050" rIns="38100" bIns="19050" anchor="ctr">
                <a:spAutoFit/>
              </a:bodyPr>
              <a:lstStyle/>
              <a:p>
                <a:pPr>
                  <a:defRPr sz="1135" b="0" i="0" u="none" strike="noStrike" baseline="0">
                    <a:solidFill>
                      <a:srgbClr val="333333"/>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Sheet3!$A$11:$A$24</c:f>
              <c:strCache>
                <c:ptCount val="14"/>
                <c:pt idx="0">
                  <c:v>CHỈ SỐ GIÁ TIÊU DÙNG</c:v>
                </c:pt>
                <c:pt idx="1">
                  <c:v>I. Hàng ăn và dịch vụ ăn uống</c:v>
                </c:pt>
                <c:pt idx="2">
                  <c:v>II. Đồ uống và thuốc lá</c:v>
                </c:pt>
                <c:pt idx="3">
                  <c:v>III. May mặc, mũ nón và giày dép</c:v>
                </c:pt>
                <c:pt idx="4">
                  <c:v>IV. Nhà ở, điện, nước, chất đốt và VLXD</c:v>
                </c:pt>
                <c:pt idx="5">
                  <c:v>V. Thiết bị và đồ dùng giá đình</c:v>
                </c:pt>
                <c:pt idx="6">
                  <c:v>VI. Thuốc và thiết bị y tế</c:v>
                </c:pt>
                <c:pt idx="7">
                  <c:v>VII. Giao thông</c:v>
                </c:pt>
                <c:pt idx="8">
                  <c:v>VIII. Bưu chính viễn thông</c:v>
                </c:pt>
                <c:pt idx="9">
                  <c:v>IX. Giáo dục</c:v>
                </c:pt>
                <c:pt idx="10">
                  <c:v>X. Văn hóa, giải trí và du lịch</c:v>
                </c:pt>
                <c:pt idx="11">
                  <c:v>XI. Hàng hóa và dịch vụ khác</c:v>
                </c:pt>
                <c:pt idx="12">
                  <c:v>Chỉ số giá vàng</c:v>
                </c:pt>
                <c:pt idx="13">
                  <c:v>Chỉ số giá đô la Mỹ</c:v>
                </c:pt>
              </c:strCache>
            </c:strRef>
          </c:cat>
          <c:val>
            <c:numRef>
              <c:f>Sheet3!$B$11:$B$24</c:f>
              <c:numCache>
                <c:formatCode>_-* ###,000_-;\-* ###,000_-;_-* "-"??_-;_-@_-</c:formatCode>
                <c:ptCount val="14"/>
                <c:pt idx="0">
                  <c:v>100.1105</c:v>
                </c:pt>
                <c:pt idx="1">
                  <c:v>99.611500000000007</c:v>
                </c:pt>
                <c:pt idx="2">
                  <c:v>100</c:v>
                </c:pt>
                <c:pt idx="3">
                  <c:v>99.840599999999995</c:v>
                </c:pt>
                <c:pt idx="4">
                  <c:v>100.657</c:v>
                </c:pt>
                <c:pt idx="5">
                  <c:v>100.0313</c:v>
                </c:pt>
                <c:pt idx="6">
                  <c:v>100.04819999999999</c:v>
                </c:pt>
                <c:pt idx="7">
                  <c:v>101.3039</c:v>
                </c:pt>
                <c:pt idx="8">
                  <c:v>100</c:v>
                </c:pt>
                <c:pt idx="9">
                  <c:v>100</c:v>
                </c:pt>
                <c:pt idx="10">
                  <c:v>100</c:v>
                </c:pt>
                <c:pt idx="11">
                  <c:v>99.969200000000001</c:v>
                </c:pt>
                <c:pt idx="12">
                  <c:v>96.618499999999997</c:v>
                </c:pt>
                <c:pt idx="13">
                  <c:v>100.2218</c:v>
                </c:pt>
              </c:numCache>
            </c:numRef>
          </c:val>
          <c:smooth val="0"/>
          <c:extLst xmlns:c16r2="http://schemas.microsoft.com/office/drawing/2015/06/chart">
            <c:ext xmlns:c16="http://schemas.microsoft.com/office/drawing/2014/chart" uri="{C3380CC4-5D6E-409C-BE32-E72D297353CC}">
              <c16:uniqueId val="{0000000E-2804-45A7-8425-030CC774C52F}"/>
            </c:ext>
          </c:extLst>
        </c:ser>
        <c:dLbls>
          <c:showLegendKey val="0"/>
          <c:showVal val="0"/>
          <c:showCatName val="0"/>
          <c:showSerName val="0"/>
          <c:showPercent val="0"/>
          <c:showBubbleSize val="0"/>
        </c:dLbls>
        <c:marker val="1"/>
        <c:smooth val="0"/>
        <c:axId val="302971136"/>
        <c:axId val="243064832"/>
      </c:lineChart>
      <c:catAx>
        <c:axId val="302971136"/>
        <c:scaling>
          <c:orientation val="minMax"/>
        </c:scaling>
        <c:delete val="0"/>
        <c:axPos val="b"/>
        <c:majorGridlines>
          <c:spPr>
            <a:ln w="98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825" cap="flat" cmpd="sng" algn="ctr">
            <a:solidFill>
              <a:schemeClr val="tx1">
                <a:lumMod val="25000"/>
                <a:lumOff val="75000"/>
              </a:schemeClr>
            </a:solidFill>
            <a:round/>
          </a:ln>
          <a:effectLst/>
        </c:spPr>
        <c:txPr>
          <a:bodyPr rot="-2700000" vert="horz"/>
          <a:lstStyle/>
          <a:p>
            <a:pPr>
              <a:defRPr sz="1238" b="0" i="0" u="none" strike="noStrike" baseline="0">
                <a:solidFill>
                  <a:srgbClr val="333333"/>
                </a:solidFill>
                <a:latin typeface="Times New Roman"/>
                <a:ea typeface="Times New Roman"/>
                <a:cs typeface="Times New Roman"/>
              </a:defRPr>
            </a:pPr>
            <a:endParaRPr lang="en-US"/>
          </a:p>
        </c:txPr>
        <c:crossAx val="243064832"/>
        <c:crosses val="autoZero"/>
        <c:auto val="1"/>
        <c:lblAlgn val="ctr"/>
        <c:lblOffset val="100"/>
        <c:noMultiLvlLbl val="0"/>
      </c:catAx>
      <c:valAx>
        <c:axId val="243064832"/>
        <c:scaling>
          <c:orientation val="minMax"/>
          <c:max val="105"/>
          <c:min val="95"/>
        </c:scaling>
        <c:delete val="0"/>
        <c:axPos val="l"/>
        <c:majorGridlines>
          <c:spPr>
            <a:ln w="9825" cap="flat" cmpd="sng" algn="ctr">
              <a:solidFill>
                <a:schemeClr val="tx1">
                  <a:lumMod val="15000"/>
                  <a:lumOff val="85000"/>
                </a:schemeClr>
              </a:solidFill>
              <a:round/>
            </a:ln>
            <a:effectLst/>
          </c:spPr>
        </c:majorGridlines>
        <c:numFmt formatCode="_-* ###,000_-;\-* ###,000_-;_-* &quot;-&quot;??_-;_-@_-" sourceLinked="1"/>
        <c:majorTickMark val="none"/>
        <c:minorTickMark val="none"/>
        <c:tickLblPos val="nextTo"/>
        <c:spPr>
          <a:noFill/>
          <a:ln w="9825" cap="flat" cmpd="sng" algn="ctr">
            <a:solidFill>
              <a:schemeClr val="tx1">
                <a:lumMod val="25000"/>
                <a:lumOff val="75000"/>
              </a:schemeClr>
            </a:solidFill>
            <a:round/>
          </a:ln>
          <a:effectLst/>
        </c:spPr>
        <c:txPr>
          <a:bodyPr rot="0" vert="horz"/>
          <a:lstStyle/>
          <a:p>
            <a:pPr>
              <a:defRPr sz="1238" b="0" i="0" u="none" strike="noStrike" baseline="0">
                <a:solidFill>
                  <a:srgbClr val="333333"/>
                </a:solidFill>
                <a:latin typeface="Times New Roman"/>
                <a:ea typeface="Times New Roman"/>
                <a:cs typeface="Times New Roman"/>
              </a:defRPr>
            </a:pPr>
            <a:endParaRPr lang="en-US"/>
          </a:p>
        </c:txPr>
        <c:crossAx val="302971136"/>
        <c:crosses val="autoZero"/>
        <c:crossBetween val="between"/>
      </c:valAx>
      <c:spPr>
        <a:noFill/>
        <a:ln w="26200">
          <a:noFill/>
        </a:ln>
      </c:spPr>
    </c:plotArea>
    <c:plotVisOnly val="1"/>
    <c:dispBlanksAs val="gap"/>
    <c:showDLblsOverMax val="0"/>
  </c:chart>
  <c:spPr>
    <a:solidFill>
      <a:schemeClr val="bg1"/>
    </a:solidFill>
    <a:ln w="9825" cap="flat" cmpd="sng" algn="ctr">
      <a:solidFill>
        <a:schemeClr val="tx1">
          <a:lumMod val="15000"/>
          <a:lumOff val="85000"/>
        </a:schemeClr>
      </a:solidFill>
      <a:round/>
    </a:ln>
    <a:effectLst/>
  </c:spPr>
  <c:txPr>
    <a:bodyPr/>
    <a:lstStyle/>
    <a:p>
      <a:pPr>
        <a:defRPr sz="1031"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42" b="0" i="0" u="none" strike="noStrike" baseline="0">
                <a:solidFill>
                  <a:srgbClr val="333333"/>
                </a:solidFill>
                <a:latin typeface="Calibri"/>
                <a:ea typeface="Calibri"/>
                <a:cs typeface="Calibri"/>
              </a:defRPr>
            </a:pPr>
            <a:r>
              <a:rPr lang="en-US" sz="1236" b="1">
                <a:solidFill>
                  <a:srgbClr val="FF0000"/>
                </a:solidFill>
              </a:rPr>
              <a:t>Chỉ</a:t>
            </a:r>
            <a:r>
              <a:rPr lang="en-US" sz="1236" b="1" baseline="0">
                <a:solidFill>
                  <a:srgbClr val="FF0000"/>
                </a:solidFill>
              </a:rPr>
              <a:t> số giá tiêu dùng Quý II năm 2025 so với quý trước</a:t>
            </a:r>
            <a:r>
              <a:rPr lang="en-US" sz="1236" b="1">
                <a:solidFill>
                  <a:srgbClr val="FF0000"/>
                </a:solidFill>
              </a:rPr>
              <a:t> (%)</a:t>
            </a:r>
            <a:endParaRPr lang="vi-VN" sz="1200" b="1">
              <a:solidFill>
                <a:srgbClr val="FF0000"/>
              </a:solidFill>
            </a:endParaRPr>
          </a:p>
        </c:rich>
      </c:tx>
      <c:layout>
        <c:manualLayout>
          <c:xMode val="edge"/>
          <c:yMode val="edge"/>
          <c:x val="0.2256817147856518"/>
          <c:y val="3.165201437198991E-2"/>
        </c:manualLayout>
      </c:layout>
      <c:overlay val="0"/>
      <c:spPr>
        <a:noFill/>
        <a:ln w="26155">
          <a:noFill/>
        </a:ln>
      </c:spPr>
    </c:title>
    <c:autoTitleDeleted val="0"/>
    <c:plotArea>
      <c:layout/>
      <c:lineChart>
        <c:grouping val="standard"/>
        <c:varyColors val="0"/>
        <c:ser>
          <c:idx val="0"/>
          <c:order val="0"/>
          <c:tx>
            <c:strRef>
              <c:f>Sheet3!$B$10</c:f>
              <c:strCache>
                <c:ptCount val="1"/>
                <c:pt idx="0">
                  <c:v>Tháng trước</c:v>
                </c:pt>
              </c:strCache>
            </c:strRef>
          </c:tx>
          <c:spPr>
            <a:ln w="19616" cap="rnd">
              <a:solidFill>
                <a:schemeClr val="accent1"/>
              </a:solidFill>
              <a:round/>
            </a:ln>
            <a:effectLst/>
          </c:spPr>
          <c:marker>
            <c:symbol val="circle"/>
            <c:size val="5"/>
            <c:spPr>
              <a:solidFill>
                <a:schemeClr val="accent1"/>
              </a:solidFill>
              <a:ln w="9808">
                <a:solidFill>
                  <a:schemeClr val="accent1"/>
                </a:solidFill>
              </a:ln>
              <a:effectLst/>
            </c:spPr>
          </c:marker>
          <c:dLbls>
            <c:dLbl>
              <c:idx val="0"/>
              <c:layout>
                <c:manualLayout>
                  <c:x val="-5.3230616443214869E-2"/>
                  <c:y val="-5.1189981074324167E-2"/>
                </c:manualLayout>
              </c:layout>
              <c:spPr>
                <a:noFill/>
                <a:ln w="26155">
                  <a:noFill/>
                </a:ln>
              </c:spPr>
              <c:txPr>
                <a:bodyPr/>
                <a:lstStyle/>
                <a:p>
                  <a:pPr>
                    <a:defRPr sz="1133"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BCE-4667-88B5-3D9C1172ECF6}"/>
                </c:ext>
              </c:extLst>
            </c:dLbl>
            <c:dLbl>
              <c:idx val="1"/>
              <c:layout>
                <c:manualLayout>
                  <c:x val="-5.5396940247333992E-2"/>
                  <c:y val="5.2843913798608928E-2"/>
                </c:manualLayout>
              </c:layout>
              <c:spPr>
                <a:noFill/>
                <a:ln w="26155">
                  <a:noFill/>
                </a:ln>
              </c:spPr>
              <c:txPr>
                <a:bodyPr/>
                <a:lstStyle/>
                <a:p>
                  <a:pPr>
                    <a:defRPr sz="1133"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BCE-4667-88B5-3D9C1172ECF6}"/>
                </c:ext>
              </c:extLst>
            </c:dLbl>
            <c:dLbl>
              <c:idx val="2"/>
              <c:layout>
                <c:manualLayout>
                  <c:x val="-5.76576576576577E-2"/>
                  <c:y val="-4.723350234039736E-2"/>
                </c:manualLayout>
              </c:layout>
              <c:spPr>
                <a:noFill/>
                <a:ln w="26155">
                  <a:noFill/>
                </a:ln>
              </c:spPr>
              <c:txPr>
                <a:bodyPr/>
                <a:lstStyle/>
                <a:p>
                  <a:pPr>
                    <a:defRPr sz="1133"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BCE-4667-88B5-3D9C1172ECF6}"/>
                </c:ext>
              </c:extLst>
            </c:dLbl>
            <c:dLbl>
              <c:idx val="3"/>
              <c:layout>
                <c:manualLayout>
                  <c:x val="-5.7657657657657659E-2"/>
                  <c:y val="4.5391403225932068E-2"/>
                </c:manualLayout>
              </c:layout>
              <c:spPr>
                <a:noFill/>
                <a:ln w="26155">
                  <a:noFill/>
                </a:ln>
              </c:spPr>
              <c:txPr>
                <a:bodyPr/>
                <a:lstStyle/>
                <a:p>
                  <a:pPr>
                    <a:defRPr sz="1133"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BCE-4667-88B5-3D9C1172ECF6}"/>
                </c:ext>
              </c:extLst>
            </c:dLbl>
            <c:dLbl>
              <c:idx val="4"/>
              <c:layout>
                <c:manualLayout>
                  <c:x val="-5.8176917074554871E-2"/>
                  <c:y val="-4.4930956330755389E-2"/>
                </c:manualLayout>
              </c:layout>
              <c:spPr>
                <a:noFill/>
                <a:ln w="26155">
                  <a:noFill/>
                </a:ln>
              </c:spPr>
              <c:txPr>
                <a:bodyPr/>
                <a:lstStyle/>
                <a:p>
                  <a:pPr>
                    <a:defRPr sz="1133"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BCE-4667-88B5-3D9C1172ECF6}"/>
                </c:ext>
              </c:extLst>
            </c:dLbl>
            <c:dLbl>
              <c:idx val="5"/>
              <c:layout>
                <c:manualLayout>
                  <c:x val="-6.9882102575015967E-2"/>
                  <c:y val="4.272249351620365E-2"/>
                </c:manualLayout>
              </c:layout>
              <c:spPr>
                <a:noFill/>
                <a:ln w="26155">
                  <a:noFill/>
                </a:ln>
              </c:spPr>
              <c:txPr>
                <a:bodyPr/>
                <a:lstStyle/>
                <a:p>
                  <a:pPr>
                    <a:defRPr sz="1133"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BCE-4667-88B5-3D9C1172ECF6}"/>
                </c:ext>
              </c:extLst>
            </c:dLbl>
            <c:dLbl>
              <c:idx val="6"/>
              <c:layout>
                <c:manualLayout>
                  <c:x val="-7.0188929086566876E-2"/>
                  <c:y val="-6.7043934048303305E-2"/>
                </c:manualLayout>
              </c:layout>
              <c:spPr>
                <a:noFill/>
                <a:ln w="26155">
                  <a:noFill/>
                </a:ln>
              </c:spPr>
              <c:txPr>
                <a:bodyPr/>
                <a:lstStyle/>
                <a:p>
                  <a:pPr>
                    <a:defRPr sz="1133"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BCE-4667-88B5-3D9C1172ECF6}"/>
                </c:ext>
              </c:extLst>
            </c:dLbl>
            <c:dLbl>
              <c:idx val="7"/>
              <c:layout>
                <c:manualLayout>
                  <c:x val="-3.8816108685104316E-2"/>
                  <c:y val="-7.08502024291498E-2"/>
                </c:manualLayout>
              </c:layout>
              <c:spPr>
                <a:noFill/>
                <a:ln w="26155">
                  <a:noFill/>
                </a:ln>
              </c:spPr>
              <c:txPr>
                <a:bodyPr/>
                <a:lstStyle/>
                <a:p>
                  <a:pPr>
                    <a:defRPr sz="1133"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BCE-4667-88B5-3D9C1172ECF6}"/>
                </c:ext>
              </c:extLst>
            </c:dLbl>
            <c:dLbl>
              <c:idx val="8"/>
              <c:layout>
                <c:manualLayout>
                  <c:x val="-9.1645409188716276E-2"/>
                  <c:y val="3.3738171452603959E-2"/>
                </c:manualLayout>
              </c:layout>
              <c:spPr>
                <a:noFill/>
                <a:ln w="26155">
                  <a:noFill/>
                </a:ln>
              </c:spPr>
              <c:txPr>
                <a:bodyPr/>
                <a:lstStyle/>
                <a:p>
                  <a:pPr>
                    <a:defRPr sz="1133"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BCE-4667-88B5-3D9C1172ECF6}"/>
                </c:ext>
              </c:extLst>
            </c:dLbl>
            <c:dLbl>
              <c:idx val="9"/>
              <c:layout>
                <c:manualLayout>
                  <c:x val="-9.1291291291291293E-2"/>
                  <c:y val="-4.3521266073194932E-2"/>
                </c:manualLayout>
              </c:layout>
              <c:spPr>
                <a:noFill/>
                <a:ln w="26155">
                  <a:noFill/>
                </a:ln>
              </c:spPr>
              <c:txPr>
                <a:bodyPr/>
                <a:lstStyle/>
                <a:p>
                  <a:pPr>
                    <a:defRPr sz="1133"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BCE-4667-88B5-3D9C1172ECF6}"/>
                </c:ext>
              </c:extLst>
            </c:dLbl>
            <c:dLbl>
              <c:idx val="10"/>
              <c:layout>
                <c:manualLayout>
                  <c:x val="-5.5420396774727661E-2"/>
                  <c:y val="-4.3859591735009459E-2"/>
                </c:manualLayout>
              </c:layout>
              <c:spPr>
                <a:noFill/>
                <a:ln w="26155">
                  <a:noFill/>
                </a:ln>
              </c:spPr>
              <c:txPr>
                <a:bodyPr/>
                <a:lstStyle/>
                <a:p>
                  <a:pPr>
                    <a:defRPr sz="1133"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BCE-4667-88B5-3D9C1172ECF6}"/>
                </c:ext>
              </c:extLst>
            </c:dLbl>
            <c:dLbl>
              <c:idx val="11"/>
              <c:layout>
                <c:manualLayout>
                  <c:x val="-5.0662883355796919E-2"/>
                  <c:y val="4.0946439558556667E-2"/>
                </c:manualLayout>
              </c:layout>
              <c:spPr>
                <a:noFill/>
                <a:ln w="26155">
                  <a:noFill/>
                </a:ln>
              </c:spPr>
              <c:txPr>
                <a:bodyPr/>
                <a:lstStyle/>
                <a:p>
                  <a:pPr>
                    <a:defRPr sz="1133"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BCE-4667-88B5-3D9C1172ECF6}"/>
                </c:ext>
              </c:extLst>
            </c:dLbl>
            <c:dLbl>
              <c:idx val="12"/>
              <c:layout>
                <c:manualLayout>
                  <c:x val="-7.4002936073668757E-2"/>
                  <c:y val="-4.7074500302846781E-2"/>
                </c:manualLayout>
              </c:layout>
              <c:spPr>
                <a:noFill/>
                <a:ln w="26155">
                  <a:noFill/>
                </a:ln>
              </c:spPr>
              <c:txPr>
                <a:bodyPr/>
                <a:lstStyle/>
                <a:p>
                  <a:pPr>
                    <a:defRPr sz="1133"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6BCE-4667-88B5-3D9C1172ECF6}"/>
                </c:ext>
              </c:extLst>
            </c:dLbl>
            <c:dLbl>
              <c:idx val="13"/>
              <c:layout>
                <c:manualLayout>
                  <c:x val="-2.6947462075715113E-2"/>
                  <c:y val="5.4790509045900951E-2"/>
                </c:manualLayout>
              </c:layout>
              <c:spPr>
                <a:noFill/>
                <a:ln w="26155">
                  <a:noFill/>
                </a:ln>
              </c:spPr>
              <c:txPr>
                <a:bodyPr/>
                <a:lstStyle/>
                <a:p>
                  <a:pPr>
                    <a:defRPr sz="1133"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BCE-4667-88B5-3D9C1172ECF6}"/>
                </c:ext>
              </c:extLst>
            </c:dLbl>
            <c:spPr>
              <a:noFill/>
              <a:ln w="26155">
                <a:noFill/>
              </a:ln>
            </c:spPr>
            <c:txPr>
              <a:bodyPr wrap="square" lIns="38100" tIns="19050" rIns="38100" bIns="19050" anchor="ctr">
                <a:spAutoFit/>
              </a:bodyPr>
              <a:lstStyle/>
              <a:p>
                <a:pPr>
                  <a:defRPr sz="1133" b="0" i="0" u="none" strike="noStrike" baseline="0">
                    <a:solidFill>
                      <a:srgbClr val="333333"/>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Sheet3!$A$11:$A$24</c:f>
              <c:strCache>
                <c:ptCount val="14"/>
                <c:pt idx="0">
                  <c:v>CHỈ SỐ GIÁ TIÊU DÙNG</c:v>
                </c:pt>
                <c:pt idx="1">
                  <c:v>I. Hàng ăn và dịch vụ ăn uống</c:v>
                </c:pt>
                <c:pt idx="2">
                  <c:v>II. Đồ uống và thuốc lá</c:v>
                </c:pt>
                <c:pt idx="3">
                  <c:v>III. May mặc, mũ nón và giày dép</c:v>
                </c:pt>
                <c:pt idx="4">
                  <c:v>IV. Nhà ở, điện, nước, chất đốt và VLXD</c:v>
                </c:pt>
                <c:pt idx="5">
                  <c:v>V. Thiết bị và đồ dùng giá đình</c:v>
                </c:pt>
                <c:pt idx="6">
                  <c:v>VI. Thuốc và thiết bị y tế</c:v>
                </c:pt>
                <c:pt idx="7">
                  <c:v>VII. Giao thông</c:v>
                </c:pt>
                <c:pt idx="8">
                  <c:v>VIII. Bưu chính viễn thông</c:v>
                </c:pt>
                <c:pt idx="9">
                  <c:v>IX. Giáo dục</c:v>
                </c:pt>
                <c:pt idx="10">
                  <c:v>X. Văn hóa, giải trí và du lịch</c:v>
                </c:pt>
                <c:pt idx="11">
                  <c:v>XI. Hàng hóa và dịch vụ khác</c:v>
                </c:pt>
                <c:pt idx="12">
                  <c:v>Chỉ số giá vàng</c:v>
                </c:pt>
                <c:pt idx="13">
                  <c:v>Chỉ số giá đô la Mỹ</c:v>
                </c:pt>
              </c:strCache>
            </c:strRef>
          </c:cat>
          <c:val>
            <c:numRef>
              <c:f>Sheet3!$B$11:$B$24</c:f>
              <c:numCache>
                <c:formatCode>_-* ###,000_-;\-* ###,000_-;_-* "-"??_-;_-@_-</c:formatCode>
                <c:ptCount val="14"/>
                <c:pt idx="0">
                  <c:v>100.3194</c:v>
                </c:pt>
                <c:pt idx="1">
                  <c:v>101.56229999999999</c:v>
                </c:pt>
                <c:pt idx="2">
                  <c:v>100.0946</c:v>
                </c:pt>
                <c:pt idx="3">
                  <c:v>99.863200000000006</c:v>
                </c:pt>
                <c:pt idx="4">
                  <c:v>99.968500000000006</c:v>
                </c:pt>
                <c:pt idx="5">
                  <c:v>100.31359999999999</c:v>
                </c:pt>
                <c:pt idx="6">
                  <c:v>100.1208</c:v>
                </c:pt>
                <c:pt idx="7">
                  <c:v>98.161500000000004</c:v>
                </c:pt>
                <c:pt idx="8">
                  <c:v>99.999399999999994</c:v>
                </c:pt>
                <c:pt idx="9">
                  <c:v>100</c:v>
                </c:pt>
                <c:pt idx="10">
                  <c:v>99.900199999999998</c:v>
                </c:pt>
                <c:pt idx="11">
                  <c:v>100.1039</c:v>
                </c:pt>
                <c:pt idx="12">
                  <c:v>123.9648</c:v>
                </c:pt>
                <c:pt idx="13">
                  <c:v>101.99039999999999</c:v>
                </c:pt>
              </c:numCache>
            </c:numRef>
          </c:val>
          <c:smooth val="0"/>
          <c:extLst xmlns:c16r2="http://schemas.microsoft.com/office/drawing/2015/06/chart">
            <c:ext xmlns:c16="http://schemas.microsoft.com/office/drawing/2014/chart" uri="{C3380CC4-5D6E-409C-BE32-E72D297353CC}">
              <c16:uniqueId val="{0000000E-6BCE-4667-88B5-3D9C1172ECF6}"/>
            </c:ext>
          </c:extLst>
        </c:ser>
        <c:dLbls>
          <c:showLegendKey val="0"/>
          <c:showVal val="0"/>
          <c:showCatName val="0"/>
          <c:showSerName val="0"/>
          <c:showPercent val="0"/>
          <c:showBubbleSize val="0"/>
        </c:dLbls>
        <c:marker val="1"/>
        <c:smooth val="0"/>
        <c:axId val="247951744"/>
        <c:axId val="247953280"/>
      </c:lineChart>
      <c:catAx>
        <c:axId val="247951744"/>
        <c:scaling>
          <c:orientation val="minMax"/>
        </c:scaling>
        <c:delete val="0"/>
        <c:axPos val="b"/>
        <c:majorGridlines>
          <c:spPr>
            <a:ln w="9808"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808" cap="flat" cmpd="sng" algn="ctr">
            <a:solidFill>
              <a:schemeClr val="tx1">
                <a:lumMod val="25000"/>
                <a:lumOff val="75000"/>
              </a:schemeClr>
            </a:solidFill>
            <a:round/>
          </a:ln>
          <a:effectLst/>
        </c:spPr>
        <c:txPr>
          <a:bodyPr rot="-2700000" vert="horz"/>
          <a:lstStyle/>
          <a:p>
            <a:pPr>
              <a:defRPr sz="1236" b="0" i="0" u="none" strike="noStrike" baseline="0">
                <a:solidFill>
                  <a:srgbClr val="333333"/>
                </a:solidFill>
                <a:latin typeface="Times New Roman"/>
                <a:ea typeface="Times New Roman"/>
                <a:cs typeface="Times New Roman"/>
              </a:defRPr>
            </a:pPr>
            <a:endParaRPr lang="en-US"/>
          </a:p>
        </c:txPr>
        <c:crossAx val="247953280"/>
        <c:crosses val="autoZero"/>
        <c:auto val="1"/>
        <c:lblAlgn val="ctr"/>
        <c:lblOffset val="100"/>
        <c:noMultiLvlLbl val="0"/>
      </c:catAx>
      <c:valAx>
        <c:axId val="247953280"/>
        <c:scaling>
          <c:orientation val="minMax"/>
          <c:max val="140"/>
          <c:min val="80"/>
        </c:scaling>
        <c:delete val="0"/>
        <c:axPos val="l"/>
        <c:majorGridlines>
          <c:spPr>
            <a:ln w="9808" cap="flat" cmpd="sng" algn="ctr">
              <a:solidFill>
                <a:schemeClr val="tx1">
                  <a:lumMod val="15000"/>
                  <a:lumOff val="85000"/>
                </a:schemeClr>
              </a:solidFill>
              <a:round/>
            </a:ln>
            <a:effectLst/>
          </c:spPr>
        </c:majorGridlines>
        <c:numFmt formatCode="_-* ###,000_-;\-* ###,000_-;_-* &quot;-&quot;??_-;_-@_-" sourceLinked="1"/>
        <c:majorTickMark val="none"/>
        <c:minorTickMark val="none"/>
        <c:tickLblPos val="nextTo"/>
        <c:spPr>
          <a:noFill/>
          <a:ln w="9808" cap="flat" cmpd="sng" algn="ctr">
            <a:solidFill>
              <a:schemeClr val="tx1">
                <a:lumMod val="25000"/>
                <a:lumOff val="75000"/>
              </a:schemeClr>
            </a:solidFill>
            <a:round/>
          </a:ln>
          <a:effectLst/>
        </c:spPr>
        <c:txPr>
          <a:bodyPr rot="0" vert="horz"/>
          <a:lstStyle/>
          <a:p>
            <a:pPr>
              <a:defRPr sz="1236" b="0" i="0" u="none" strike="noStrike" baseline="0">
                <a:solidFill>
                  <a:srgbClr val="333333"/>
                </a:solidFill>
                <a:latin typeface="Times New Roman"/>
                <a:ea typeface="Times New Roman"/>
                <a:cs typeface="Times New Roman"/>
              </a:defRPr>
            </a:pPr>
            <a:endParaRPr lang="en-US"/>
          </a:p>
        </c:txPr>
        <c:crossAx val="247951744"/>
        <c:crosses val="autoZero"/>
        <c:crossBetween val="between"/>
        <c:majorUnit val="20"/>
        <c:minorUnit val="6"/>
      </c:valAx>
      <c:spPr>
        <a:noFill/>
        <a:ln w="26155">
          <a:noFill/>
        </a:ln>
      </c:spPr>
    </c:plotArea>
    <c:plotVisOnly val="1"/>
    <c:dispBlanksAs val="gap"/>
    <c:showDLblsOverMax val="0"/>
  </c:chart>
  <c:spPr>
    <a:solidFill>
      <a:schemeClr val="bg1"/>
    </a:solidFill>
    <a:ln w="9808" cap="flat" cmpd="sng" algn="ctr">
      <a:solidFill>
        <a:schemeClr val="tx1">
          <a:lumMod val="15000"/>
          <a:lumOff val="85000"/>
        </a:schemeClr>
      </a:solidFill>
      <a:round/>
    </a:ln>
    <a:effectLst/>
  </c:spPr>
  <c:txPr>
    <a:bodyPr/>
    <a:lstStyle/>
    <a:p>
      <a:pPr>
        <a:defRPr sz="103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38" b="1" i="0" u="none" strike="noStrike" baseline="0">
                <a:solidFill>
                  <a:srgbClr val="FF0000"/>
                </a:solidFill>
                <a:latin typeface="Calibri"/>
                <a:ea typeface="Calibri"/>
                <a:cs typeface="Calibri"/>
              </a:defRPr>
            </a:pPr>
            <a:r>
              <a:rPr lang="en-US" sz="1135" baseline="0"/>
              <a:t>Chỉ số giá tiêu dùng 6 tháng đầu năm 2025 so với cùng kỳ năm 2024 (%)</a:t>
            </a:r>
          </a:p>
        </c:rich>
      </c:tx>
      <c:layout>
        <c:manualLayout>
          <c:xMode val="edge"/>
          <c:yMode val="edge"/>
          <c:x val="0.21620372660029066"/>
          <c:y val="3.0360081394320091E-2"/>
        </c:manualLayout>
      </c:layout>
      <c:overlay val="0"/>
      <c:spPr>
        <a:noFill/>
        <a:ln w="26199">
          <a:noFill/>
        </a:ln>
      </c:spPr>
    </c:title>
    <c:autoTitleDeleted val="0"/>
    <c:plotArea>
      <c:layout/>
      <c:lineChart>
        <c:grouping val="standard"/>
        <c:varyColors val="0"/>
        <c:ser>
          <c:idx val="1"/>
          <c:order val="0"/>
          <c:tx>
            <c:strRef>
              <c:f>Sheet3!$B$10</c:f>
              <c:strCache>
                <c:ptCount val="1"/>
                <c:pt idx="0">
                  <c:v>Tháng trước</c:v>
                </c:pt>
              </c:strCache>
            </c:strRef>
          </c:tx>
          <c:spPr>
            <a:ln w="19649" cap="rnd">
              <a:solidFill>
                <a:schemeClr val="accent1"/>
              </a:solidFill>
              <a:round/>
            </a:ln>
            <a:effectLst/>
          </c:spPr>
          <c:cat>
            <c:strRef>
              <c:f>Sheet3!$A$11:$A$24</c:f>
              <c:strCache>
                <c:ptCount val="14"/>
                <c:pt idx="0">
                  <c:v>CHỈ SỐ GIÁ TIÊU DÙNG</c:v>
                </c:pt>
                <c:pt idx="1">
                  <c:v>I. Hàng ăn và dịch vụ ăn uống</c:v>
                </c:pt>
                <c:pt idx="2">
                  <c:v>II. Đồ uống và thuốc lá</c:v>
                </c:pt>
                <c:pt idx="3">
                  <c:v>III. May mặc, mũ nón và giày dép</c:v>
                </c:pt>
                <c:pt idx="4">
                  <c:v>IV. Nhà ở, điện, nước, chất đốt và VLXD</c:v>
                </c:pt>
                <c:pt idx="5">
                  <c:v>V. Thiết bị và đồ dùng giá đình</c:v>
                </c:pt>
                <c:pt idx="6">
                  <c:v>VI. Thuốc và thiết bị y tế</c:v>
                </c:pt>
                <c:pt idx="7">
                  <c:v>VII. Giao thông</c:v>
                </c:pt>
                <c:pt idx="8">
                  <c:v>VIII. Bưu chính viễn thông</c:v>
                </c:pt>
                <c:pt idx="9">
                  <c:v>IX. Giáo dục</c:v>
                </c:pt>
                <c:pt idx="10">
                  <c:v>X. Văn hóa, giải trí và du lịch</c:v>
                </c:pt>
                <c:pt idx="11">
                  <c:v>XI. Hàng hóa và dịch vụ khác</c:v>
                </c:pt>
                <c:pt idx="12">
                  <c:v>Chỉ số giá vàng</c:v>
                </c:pt>
                <c:pt idx="13">
                  <c:v>Chỉ số giá đô la Mỹ</c:v>
                </c:pt>
              </c:strCache>
            </c:strRef>
          </c:cat>
          <c:val>
            <c:numRef>
              <c:f>Sheet3!$B$11:$B$24</c:f>
              <c:numCache>
                <c:formatCode>_-* ###,000_-;\-* ###,000_-;_-* "-"??_-;_-@_-</c:formatCode>
                <c:ptCount val="14"/>
                <c:pt idx="0">
                  <c:v>102.1901</c:v>
                </c:pt>
                <c:pt idx="1">
                  <c:v>107.304</c:v>
                </c:pt>
                <c:pt idx="2">
                  <c:v>101.5899</c:v>
                </c:pt>
                <c:pt idx="3">
                  <c:v>100.6772</c:v>
                </c:pt>
                <c:pt idx="4">
                  <c:v>101.31789999999999</c:v>
                </c:pt>
                <c:pt idx="5">
                  <c:v>100.4975</c:v>
                </c:pt>
                <c:pt idx="6">
                  <c:v>115.5211</c:v>
                </c:pt>
                <c:pt idx="7">
                  <c:v>93.967500000000001</c:v>
                </c:pt>
                <c:pt idx="8">
                  <c:v>99.838300000000004</c:v>
                </c:pt>
                <c:pt idx="9">
                  <c:v>82.841899999999995</c:v>
                </c:pt>
                <c:pt idx="10">
                  <c:v>99.830699999999993</c:v>
                </c:pt>
                <c:pt idx="11">
                  <c:v>103.26730000000001</c:v>
                </c:pt>
                <c:pt idx="12">
                  <c:v>142.58449999999999</c:v>
                </c:pt>
                <c:pt idx="13">
                  <c:v>103.3933</c:v>
                </c:pt>
              </c:numCache>
            </c:numRef>
          </c:val>
          <c:smooth val="0"/>
          <c:extLst xmlns:c16r2="http://schemas.microsoft.com/office/drawing/2015/06/chart">
            <c:ext xmlns:c16="http://schemas.microsoft.com/office/drawing/2014/chart" uri="{C3380CC4-5D6E-409C-BE32-E72D297353CC}">
              <c16:uniqueId val="{00000000-ED69-4A60-AEF1-607F60D6BF6B}"/>
            </c:ext>
          </c:extLst>
        </c:ser>
        <c:ser>
          <c:idx val="0"/>
          <c:order val="1"/>
          <c:tx>
            <c:strRef>
              <c:f>Sheet3!$B$10</c:f>
              <c:strCache>
                <c:ptCount val="1"/>
                <c:pt idx="0">
                  <c:v>Tháng trước</c:v>
                </c:pt>
              </c:strCache>
            </c:strRef>
          </c:tx>
          <c:spPr>
            <a:ln w="19649" cap="rnd">
              <a:solidFill>
                <a:schemeClr val="accent1"/>
              </a:solidFill>
              <a:round/>
            </a:ln>
            <a:effectLst/>
          </c:spPr>
          <c:marker>
            <c:symbol val="circle"/>
            <c:size val="5"/>
            <c:spPr>
              <a:solidFill>
                <a:schemeClr val="accent1"/>
              </a:solidFill>
              <a:ln w="9825">
                <a:solidFill>
                  <a:schemeClr val="accent1"/>
                </a:solidFill>
              </a:ln>
              <a:effectLst/>
            </c:spPr>
          </c:marker>
          <c:dLbls>
            <c:dLbl>
              <c:idx val="0"/>
              <c:layout>
                <c:manualLayout>
                  <c:x val="-3.8816108685104316E-2"/>
                  <c:y val="-4.7233468286099867E-2"/>
                </c:manualLayout>
              </c:layout>
              <c:spPr>
                <a:noFill/>
                <a:ln w="26199">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D69-4A60-AEF1-607F60D6BF6B}"/>
                </c:ext>
              </c:extLst>
            </c:dLbl>
            <c:dLbl>
              <c:idx val="1"/>
              <c:layout>
                <c:manualLayout>
                  <c:x val="-1.4556040756914119E-2"/>
                  <c:y val="-5.3981106612685591E-2"/>
                </c:manualLayout>
              </c:layout>
              <c:spPr>
                <a:noFill/>
                <a:ln w="26199">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D69-4A60-AEF1-607F60D6BF6B}"/>
                </c:ext>
              </c:extLst>
            </c:dLbl>
            <c:dLbl>
              <c:idx val="2"/>
              <c:layout>
                <c:manualLayout>
                  <c:x val="0"/>
                  <c:y val="-4.7233468286099867E-2"/>
                </c:manualLayout>
              </c:layout>
              <c:spPr>
                <a:noFill/>
                <a:ln w="26199">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D69-4A60-AEF1-607F60D6BF6B}"/>
                </c:ext>
              </c:extLst>
            </c:dLbl>
            <c:dLbl>
              <c:idx val="3"/>
              <c:layout>
                <c:manualLayout>
                  <c:x val="0"/>
                  <c:y val="-3.3738191632928509E-2"/>
                </c:manualLayout>
              </c:layout>
              <c:spPr>
                <a:noFill/>
                <a:ln w="26199">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D69-4A60-AEF1-607F60D6BF6B}"/>
                </c:ext>
              </c:extLst>
            </c:dLbl>
            <c:dLbl>
              <c:idx val="4"/>
              <c:layout>
                <c:manualLayout>
                  <c:x val="-5.3372149442018436E-2"/>
                  <c:y val="5.39811066126855E-2"/>
                </c:manualLayout>
              </c:layout>
              <c:spPr>
                <a:noFill/>
                <a:ln w="26199">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D69-4A60-AEF1-607F60D6BF6B}"/>
                </c:ext>
              </c:extLst>
            </c:dLbl>
            <c:dLbl>
              <c:idx val="5"/>
              <c:layout>
                <c:manualLayout>
                  <c:x val="-2.1834061135371178E-2"/>
                  <c:y val="-6.4102564102564097E-2"/>
                </c:manualLayout>
              </c:layout>
              <c:spPr>
                <a:noFill/>
                <a:ln w="26199">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D69-4A60-AEF1-607F60D6BF6B}"/>
                </c:ext>
              </c:extLst>
            </c:dLbl>
            <c:dLbl>
              <c:idx val="6"/>
              <c:layout>
                <c:manualLayout>
                  <c:x val="-5.3372149442018436E-2"/>
                  <c:y val="6.7476383265856948E-2"/>
                </c:manualLayout>
              </c:layout>
              <c:spPr>
                <a:noFill/>
                <a:ln w="26199">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D69-4A60-AEF1-607F60D6BF6B}"/>
                </c:ext>
              </c:extLst>
            </c:dLbl>
            <c:dLbl>
              <c:idx val="7"/>
              <c:layout>
                <c:manualLayout>
                  <c:x val="-3.8816108685104316E-2"/>
                  <c:y val="-7.08502024291498E-2"/>
                </c:manualLayout>
              </c:layout>
              <c:spPr>
                <a:noFill/>
                <a:ln w="26199">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D69-4A60-AEF1-607F60D6BF6B}"/>
                </c:ext>
              </c:extLst>
            </c:dLbl>
            <c:dLbl>
              <c:idx val="8"/>
              <c:layout>
                <c:manualLayout>
                  <c:x val="-3.6390101892285386E-2"/>
                  <c:y val="3.3738191632928509E-2"/>
                </c:manualLayout>
              </c:layout>
              <c:spPr>
                <a:noFill/>
                <a:ln w="26199">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D69-4A60-AEF1-607F60D6BF6B}"/>
                </c:ext>
              </c:extLst>
            </c:dLbl>
            <c:dLbl>
              <c:idx val="10"/>
              <c:layout>
                <c:manualLayout>
                  <c:x val="-1.6982047549733228E-2"/>
                  <c:y val="-4.3859649122807015E-2"/>
                </c:manualLayout>
              </c:layout>
              <c:spPr>
                <a:noFill/>
                <a:ln w="26199">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D69-4A60-AEF1-607F60D6BF6B}"/>
                </c:ext>
              </c:extLst>
            </c:dLbl>
            <c:dLbl>
              <c:idx val="11"/>
              <c:layout>
                <c:manualLayout>
                  <c:x val="-2.1834061135371178E-2"/>
                  <c:y val="6.0728744939271252E-2"/>
                </c:manualLayout>
              </c:layout>
              <c:spPr>
                <a:noFill/>
                <a:ln w="26199">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D69-4A60-AEF1-607F60D6BF6B}"/>
                </c:ext>
              </c:extLst>
            </c:dLbl>
            <c:dLbl>
              <c:idx val="12"/>
              <c:layout>
                <c:manualLayout>
                  <c:x val="-6.7304574249930485E-2"/>
                  <c:y val="-2.8398830008949136E-2"/>
                </c:manualLayout>
              </c:layout>
              <c:spPr>
                <a:noFill/>
                <a:ln w="26199">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D69-4A60-AEF1-607F60D6BF6B}"/>
                </c:ext>
              </c:extLst>
            </c:dLbl>
            <c:dLbl>
              <c:idx val="13"/>
              <c:layout>
                <c:manualLayout>
                  <c:x val="-1.5807928921721552E-2"/>
                  <c:y val="-3.6642582148627333E-2"/>
                </c:manualLayout>
              </c:layout>
              <c:spPr>
                <a:noFill/>
                <a:ln w="26199">
                  <a:noFill/>
                </a:ln>
              </c:spPr>
              <c:txPr>
                <a:bodyPr/>
                <a:lstStyle/>
                <a:p>
                  <a:pPr>
                    <a:defRPr sz="1135" b="0" i="0" u="none" strike="noStrike" baseline="0">
                      <a:solidFill>
                        <a:srgbClr val="333333"/>
                      </a:solidFill>
                      <a:latin typeface="Times New Roman"/>
                      <a:ea typeface="Times New Roman"/>
                      <a:cs typeface="Times New Roman"/>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D69-4A60-AEF1-607F60D6BF6B}"/>
                </c:ext>
              </c:extLst>
            </c:dLbl>
            <c:spPr>
              <a:noFill/>
              <a:ln w="26199">
                <a:noFill/>
              </a:ln>
            </c:spPr>
            <c:txPr>
              <a:bodyPr wrap="square" lIns="38100" tIns="19050" rIns="38100" bIns="19050" anchor="ctr">
                <a:spAutoFit/>
              </a:bodyPr>
              <a:lstStyle/>
              <a:p>
                <a:pPr>
                  <a:defRPr sz="1135" b="0" i="0" u="none" strike="noStrike" baseline="0">
                    <a:solidFill>
                      <a:srgbClr val="333333"/>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Sheet3!$A$11:$A$24</c:f>
              <c:strCache>
                <c:ptCount val="14"/>
                <c:pt idx="0">
                  <c:v>CHỈ SỐ GIÁ TIÊU DÙNG</c:v>
                </c:pt>
                <c:pt idx="1">
                  <c:v>I. Hàng ăn và dịch vụ ăn uống</c:v>
                </c:pt>
                <c:pt idx="2">
                  <c:v>II. Đồ uống và thuốc lá</c:v>
                </c:pt>
                <c:pt idx="3">
                  <c:v>III. May mặc, mũ nón và giày dép</c:v>
                </c:pt>
                <c:pt idx="4">
                  <c:v>IV. Nhà ở, điện, nước, chất đốt và VLXD</c:v>
                </c:pt>
                <c:pt idx="5">
                  <c:v>V. Thiết bị và đồ dùng giá đình</c:v>
                </c:pt>
                <c:pt idx="6">
                  <c:v>VI. Thuốc và thiết bị y tế</c:v>
                </c:pt>
                <c:pt idx="7">
                  <c:v>VII. Giao thông</c:v>
                </c:pt>
                <c:pt idx="8">
                  <c:v>VIII. Bưu chính viễn thông</c:v>
                </c:pt>
                <c:pt idx="9">
                  <c:v>IX. Giáo dục</c:v>
                </c:pt>
                <c:pt idx="10">
                  <c:v>X. Văn hóa, giải trí và du lịch</c:v>
                </c:pt>
                <c:pt idx="11">
                  <c:v>XI. Hàng hóa và dịch vụ khác</c:v>
                </c:pt>
                <c:pt idx="12">
                  <c:v>Chỉ số giá vàng</c:v>
                </c:pt>
                <c:pt idx="13">
                  <c:v>Chỉ số giá đô la Mỹ</c:v>
                </c:pt>
              </c:strCache>
            </c:strRef>
          </c:cat>
          <c:val>
            <c:numRef>
              <c:f>Sheet3!$B$11:$B$24</c:f>
              <c:numCache>
                <c:formatCode>_-* ###,000_-;\-* ###,000_-;_-* "-"??_-;_-@_-</c:formatCode>
                <c:ptCount val="14"/>
                <c:pt idx="0">
                  <c:v>102.1901</c:v>
                </c:pt>
                <c:pt idx="1">
                  <c:v>107.304</c:v>
                </c:pt>
                <c:pt idx="2">
                  <c:v>101.5899</c:v>
                </c:pt>
                <c:pt idx="3">
                  <c:v>100.6772</c:v>
                </c:pt>
                <c:pt idx="4">
                  <c:v>101.31789999999999</c:v>
                </c:pt>
                <c:pt idx="5">
                  <c:v>100.4975</c:v>
                </c:pt>
                <c:pt idx="6">
                  <c:v>115.5211</c:v>
                </c:pt>
                <c:pt idx="7">
                  <c:v>93.967500000000001</c:v>
                </c:pt>
                <c:pt idx="8">
                  <c:v>99.838300000000004</c:v>
                </c:pt>
                <c:pt idx="9">
                  <c:v>82.841899999999995</c:v>
                </c:pt>
                <c:pt idx="10">
                  <c:v>99.830699999999993</c:v>
                </c:pt>
                <c:pt idx="11">
                  <c:v>103.26730000000001</c:v>
                </c:pt>
                <c:pt idx="12">
                  <c:v>142.58449999999999</c:v>
                </c:pt>
                <c:pt idx="13">
                  <c:v>103.3933</c:v>
                </c:pt>
              </c:numCache>
            </c:numRef>
          </c:val>
          <c:smooth val="0"/>
          <c:extLst xmlns:c16r2="http://schemas.microsoft.com/office/drawing/2015/06/chart">
            <c:ext xmlns:c16="http://schemas.microsoft.com/office/drawing/2014/chart" uri="{C3380CC4-5D6E-409C-BE32-E72D297353CC}">
              <c16:uniqueId val="{0000000E-ED69-4A60-AEF1-607F60D6BF6B}"/>
            </c:ext>
          </c:extLst>
        </c:ser>
        <c:dLbls>
          <c:showLegendKey val="0"/>
          <c:showVal val="0"/>
          <c:showCatName val="0"/>
          <c:showSerName val="0"/>
          <c:showPercent val="0"/>
          <c:showBubbleSize val="0"/>
        </c:dLbls>
        <c:marker val="1"/>
        <c:smooth val="0"/>
        <c:axId val="248158080"/>
        <c:axId val="248159616"/>
      </c:lineChart>
      <c:catAx>
        <c:axId val="248158080"/>
        <c:scaling>
          <c:orientation val="minMax"/>
        </c:scaling>
        <c:delete val="0"/>
        <c:axPos val="b"/>
        <c:majorGridlines>
          <c:spPr>
            <a:ln w="98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825" cap="flat" cmpd="sng" algn="ctr">
            <a:solidFill>
              <a:schemeClr val="tx1">
                <a:lumMod val="25000"/>
                <a:lumOff val="75000"/>
              </a:schemeClr>
            </a:solidFill>
            <a:round/>
          </a:ln>
          <a:effectLst/>
        </c:spPr>
        <c:txPr>
          <a:bodyPr rot="-2700000" vert="horz"/>
          <a:lstStyle/>
          <a:p>
            <a:pPr>
              <a:defRPr sz="1238" b="0" i="0" u="none" strike="noStrike" baseline="0">
                <a:solidFill>
                  <a:srgbClr val="333333"/>
                </a:solidFill>
                <a:latin typeface="Times New Roman"/>
                <a:ea typeface="Times New Roman"/>
                <a:cs typeface="Times New Roman"/>
              </a:defRPr>
            </a:pPr>
            <a:endParaRPr lang="en-US"/>
          </a:p>
        </c:txPr>
        <c:crossAx val="248159616"/>
        <c:crosses val="autoZero"/>
        <c:auto val="1"/>
        <c:lblAlgn val="ctr"/>
        <c:lblOffset val="100"/>
        <c:noMultiLvlLbl val="0"/>
      </c:catAx>
      <c:valAx>
        <c:axId val="248159616"/>
        <c:scaling>
          <c:orientation val="minMax"/>
          <c:min val="80"/>
        </c:scaling>
        <c:delete val="0"/>
        <c:axPos val="l"/>
        <c:majorGridlines>
          <c:spPr>
            <a:ln w="9825" cap="flat" cmpd="sng" algn="ctr">
              <a:solidFill>
                <a:schemeClr val="tx1">
                  <a:lumMod val="15000"/>
                  <a:lumOff val="85000"/>
                </a:schemeClr>
              </a:solidFill>
              <a:round/>
            </a:ln>
            <a:effectLst/>
          </c:spPr>
        </c:majorGridlines>
        <c:numFmt formatCode="_-* ###,000_-;\-* ###,000_-;_-* &quot;-&quot;??_-;_-@_-" sourceLinked="1"/>
        <c:majorTickMark val="none"/>
        <c:minorTickMark val="none"/>
        <c:tickLblPos val="nextTo"/>
        <c:spPr>
          <a:noFill/>
          <a:ln w="9825" cap="flat" cmpd="sng" algn="ctr">
            <a:solidFill>
              <a:schemeClr val="tx1">
                <a:lumMod val="25000"/>
                <a:lumOff val="75000"/>
              </a:schemeClr>
            </a:solidFill>
            <a:round/>
          </a:ln>
          <a:effectLst/>
        </c:spPr>
        <c:txPr>
          <a:bodyPr rot="0" vert="horz"/>
          <a:lstStyle/>
          <a:p>
            <a:pPr>
              <a:defRPr sz="1238" b="0" i="0" u="none" strike="noStrike" baseline="0">
                <a:solidFill>
                  <a:srgbClr val="333333"/>
                </a:solidFill>
                <a:latin typeface="Times New Roman"/>
                <a:ea typeface="Times New Roman"/>
                <a:cs typeface="Times New Roman"/>
              </a:defRPr>
            </a:pPr>
            <a:endParaRPr lang="en-US"/>
          </a:p>
        </c:txPr>
        <c:crossAx val="248158080"/>
        <c:crosses val="autoZero"/>
        <c:crossBetween val="between"/>
        <c:majorUnit val="10"/>
      </c:valAx>
      <c:spPr>
        <a:noFill/>
        <a:ln w="26199">
          <a:noFill/>
        </a:ln>
      </c:spPr>
    </c:plotArea>
    <c:plotVisOnly val="1"/>
    <c:dispBlanksAs val="gap"/>
    <c:showDLblsOverMax val="0"/>
  </c:chart>
  <c:spPr>
    <a:solidFill>
      <a:schemeClr val="bg1"/>
    </a:solidFill>
    <a:ln w="9825" cap="flat" cmpd="sng" algn="ctr">
      <a:solidFill>
        <a:schemeClr val="tx1">
          <a:lumMod val="15000"/>
          <a:lumOff val="85000"/>
        </a:schemeClr>
      </a:solidFill>
      <a:round/>
    </a:ln>
    <a:effectLst/>
  </c:spPr>
  <c:txPr>
    <a:bodyPr/>
    <a:lstStyle/>
    <a:p>
      <a:pPr>
        <a:defRPr sz="1031"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22670-A100-492B-991E-BDC51E7F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2665</TotalTime>
  <Pages>7</Pages>
  <Words>2175</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STC</cp:lastModifiedBy>
  <cp:revision>3332</cp:revision>
  <cp:lastPrinted>2025-02-12T01:37:00Z</cp:lastPrinted>
  <dcterms:created xsi:type="dcterms:W3CDTF">2021-05-04T01:18:00Z</dcterms:created>
  <dcterms:modified xsi:type="dcterms:W3CDTF">2025-07-31T08:09:00Z</dcterms:modified>
</cp:coreProperties>
</file>