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485D9" w14:textId="77777777" w:rsidR="00B3477C" w:rsidRDefault="00B3477C" w:rsidP="00727B94">
      <w:pPr>
        <w:spacing w:after="60" w:line="288" w:lineRule="auto"/>
        <w:jc w:val="center"/>
        <w:rPr>
          <w:b/>
          <w:szCs w:val="26"/>
        </w:rPr>
      </w:pPr>
      <w:bookmarkStart w:id="0" w:name="_GoBack"/>
      <w:bookmarkEnd w:id="0"/>
      <w:r>
        <w:rPr>
          <w:b/>
          <w:szCs w:val="26"/>
        </w:rPr>
        <w:t>Phụ lục</w:t>
      </w:r>
    </w:p>
    <w:p w14:paraId="6ABD0EA3" w14:textId="49BC2D33" w:rsidR="00C114B8" w:rsidRDefault="00B3477C" w:rsidP="00413F7B">
      <w:pPr>
        <w:spacing w:after="60" w:line="288" w:lineRule="auto"/>
        <w:ind w:firstLine="709"/>
        <w:jc w:val="center"/>
        <w:rPr>
          <w:b/>
          <w:szCs w:val="26"/>
        </w:rPr>
      </w:pPr>
      <w:r>
        <w:rPr>
          <w:b/>
          <w:szCs w:val="26"/>
        </w:rPr>
        <w:t>TỔNG HỢP ĐỀ XUẤT, KIẾN NGHỊ CỦA CÁC BỘ, ĐỊA PHƯƠNG</w:t>
      </w:r>
    </w:p>
    <w:p w14:paraId="531ECDC6" w14:textId="4C879C8A" w:rsidR="00B3477C" w:rsidRPr="00B3477C" w:rsidRDefault="00B3477C" w:rsidP="00413F7B">
      <w:pPr>
        <w:spacing w:after="60" w:line="288" w:lineRule="auto"/>
        <w:ind w:firstLine="709"/>
        <w:jc w:val="center"/>
        <w:rPr>
          <w:i/>
          <w:szCs w:val="26"/>
        </w:rPr>
      </w:pPr>
      <w:r w:rsidRPr="00B3477C">
        <w:rPr>
          <w:i/>
          <w:szCs w:val="26"/>
        </w:rPr>
        <w:t>(Kèm theo Văn bản số       /TB-VPCP ngày    tháng 4 năm 2026)</w:t>
      </w:r>
    </w:p>
    <w:p w14:paraId="098D46DB" w14:textId="77777777" w:rsidR="00B3477C" w:rsidRPr="00B3477C" w:rsidRDefault="00B3477C" w:rsidP="00413F7B">
      <w:pPr>
        <w:spacing w:after="60" w:line="288" w:lineRule="auto"/>
        <w:ind w:firstLine="709"/>
        <w:jc w:val="center"/>
        <w:rPr>
          <w:szCs w:val="26"/>
        </w:rPr>
      </w:pPr>
    </w:p>
    <w:p w14:paraId="075DD885" w14:textId="76862CF6" w:rsidR="00F84CDA" w:rsidRPr="004960D8" w:rsidRDefault="005524D4" w:rsidP="00413F7B">
      <w:pPr>
        <w:spacing w:after="60" w:line="288" w:lineRule="auto"/>
        <w:ind w:firstLine="709"/>
        <w:rPr>
          <w:sz w:val="28"/>
          <w:szCs w:val="28"/>
        </w:rPr>
      </w:pPr>
      <w:r w:rsidRPr="004960D8">
        <w:rPr>
          <w:b/>
          <w:sz w:val="28"/>
          <w:szCs w:val="28"/>
        </w:rPr>
        <w:t xml:space="preserve">1. </w:t>
      </w:r>
      <w:r w:rsidR="00F506B4" w:rsidRPr="004960D8">
        <w:rPr>
          <w:b/>
          <w:sz w:val="28"/>
          <w:szCs w:val="28"/>
        </w:rPr>
        <w:t xml:space="preserve">Bộ Quốc phòng: </w:t>
      </w:r>
      <w:r w:rsidR="00F84CDA" w:rsidRPr="004960D8">
        <w:rPr>
          <w:sz w:val="28"/>
          <w:szCs w:val="28"/>
        </w:rPr>
        <w:t xml:space="preserve">Trong năm 2026, </w:t>
      </w:r>
    </w:p>
    <w:p w14:paraId="62FD398F" w14:textId="38C48C8E" w:rsidR="00F506B4" w:rsidRPr="004960D8" w:rsidRDefault="00F84CDA" w:rsidP="00413F7B">
      <w:pPr>
        <w:spacing w:after="60" w:line="288" w:lineRule="auto"/>
        <w:ind w:firstLine="709"/>
        <w:rPr>
          <w:sz w:val="28"/>
          <w:szCs w:val="28"/>
        </w:rPr>
      </w:pPr>
      <w:r w:rsidRPr="004960D8">
        <w:rPr>
          <w:sz w:val="28"/>
          <w:szCs w:val="28"/>
        </w:rPr>
        <w:t xml:space="preserve">- Tập trung quán triệt sâu sắc, thực hiện nghiêm các văn bản chỉ đạo của Đảng và Nhà nước, Chính phủ, </w:t>
      </w:r>
      <w:r w:rsidR="00201DFA" w:rsidRPr="004960D8">
        <w:rPr>
          <w:sz w:val="28"/>
          <w:szCs w:val="28"/>
        </w:rPr>
        <w:t>Thủ tướng Chính phủ</w:t>
      </w:r>
      <w:r w:rsidRPr="004960D8">
        <w:rPr>
          <w:sz w:val="28"/>
          <w:szCs w:val="28"/>
        </w:rPr>
        <w:t xml:space="preserve">, </w:t>
      </w:r>
      <w:r w:rsidR="00201DFA" w:rsidRPr="004960D8">
        <w:rPr>
          <w:sz w:val="28"/>
          <w:szCs w:val="28"/>
        </w:rPr>
        <w:t>Ban Chỉ đạo Phòng thủ dân sự QG</w:t>
      </w:r>
      <w:r w:rsidRPr="004960D8">
        <w:rPr>
          <w:sz w:val="28"/>
          <w:szCs w:val="28"/>
        </w:rPr>
        <w:t xml:space="preserve"> về công tác PCTT và TKCN</w:t>
      </w:r>
    </w:p>
    <w:p w14:paraId="05762AD7" w14:textId="3D15BC00" w:rsidR="00F506B4" w:rsidRPr="004960D8" w:rsidRDefault="00F84CDA" w:rsidP="00413F7B">
      <w:pPr>
        <w:spacing w:after="60" w:line="288" w:lineRule="auto"/>
        <w:ind w:firstLine="709"/>
        <w:rPr>
          <w:sz w:val="28"/>
          <w:szCs w:val="28"/>
        </w:rPr>
      </w:pPr>
      <w:r w:rsidRPr="004960D8">
        <w:rPr>
          <w:sz w:val="28"/>
          <w:szCs w:val="28"/>
        </w:rPr>
        <w:t xml:space="preserve">- Chủ động tham mưu TTgCP về công tác </w:t>
      </w:r>
      <w:r w:rsidR="00201DFA" w:rsidRPr="004960D8">
        <w:rPr>
          <w:sz w:val="28"/>
          <w:szCs w:val="28"/>
        </w:rPr>
        <w:t>lãnh đạo</w:t>
      </w:r>
      <w:r w:rsidRPr="004960D8">
        <w:rPr>
          <w:sz w:val="28"/>
          <w:szCs w:val="28"/>
        </w:rPr>
        <w:t xml:space="preserve">, chỉ đạo, huy động, sử dụng lực lượng, phương tiện, vật tư, phối hợp hiệp đồng chặt chẽ lực lượng tại chỗ nhất là </w:t>
      </w:r>
      <w:r w:rsidR="00201DFA" w:rsidRPr="004960D8">
        <w:rPr>
          <w:sz w:val="28"/>
          <w:szCs w:val="28"/>
        </w:rPr>
        <w:t>phương châm</w:t>
      </w:r>
      <w:r w:rsidRPr="004960D8">
        <w:rPr>
          <w:sz w:val="28"/>
          <w:szCs w:val="28"/>
        </w:rPr>
        <w:t xml:space="preserve"> 4 tại chỗ </w:t>
      </w:r>
    </w:p>
    <w:p w14:paraId="28E4CE8B" w14:textId="0658F862" w:rsidR="00F84CDA" w:rsidRPr="004960D8" w:rsidRDefault="00F84CDA" w:rsidP="00413F7B">
      <w:pPr>
        <w:spacing w:after="60" w:line="288" w:lineRule="auto"/>
        <w:ind w:firstLine="709"/>
        <w:rPr>
          <w:sz w:val="28"/>
          <w:szCs w:val="28"/>
        </w:rPr>
      </w:pPr>
      <w:r w:rsidRPr="004960D8">
        <w:rPr>
          <w:sz w:val="28"/>
          <w:szCs w:val="28"/>
        </w:rPr>
        <w:t xml:space="preserve">- Kiểm tra, rà soát kế hoạch, phương án ứng phó </w:t>
      </w:r>
      <w:r w:rsidR="00201DFA" w:rsidRPr="004960D8">
        <w:rPr>
          <w:sz w:val="28"/>
          <w:szCs w:val="28"/>
        </w:rPr>
        <w:t>đặc biệt</w:t>
      </w:r>
      <w:r w:rsidRPr="004960D8">
        <w:rPr>
          <w:sz w:val="28"/>
          <w:szCs w:val="28"/>
        </w:rPr>
        <w:t xml:space="preserve"> các khu vực trọng điểm, khu vực có nguy cơ cao</w:t>
      </w:r>
      <w:r w:rsidR="005524D4" w:rsidRPr="004960D8">
        <w:rPr>
          <w:sz w:val="28"/>
          <w:szCs w:val="28"/>
        </w:rPr>
        <w:t xml:space="preserve"> xảy ra ngập lụt,</w:t>
      </w:r>
      <w:r w:rsidRPr="004960D8">
        <w:rPr>
          <w:sz w:val="28"/>
          <w:szCs w:val="28"/>
        </w:rPr>
        <w:t xml:space="preserve"> sạt lở, chia cắt</w:t>
      </w:r>
      <w:r w:rsidR="005524D4" w:rsidRPr="004960D8">
        <w:rPr>
          <w:sz w:val="28"/>
          <w:szCs w:val="28"/>
        </w:rPr>
        <w:t>, mất an toàn</w:t>
      </w:r>
      <w:r w:rsidRPr="004960D8">
        <w:rPr>
          <w:sz w:val="28"/>
          <w:szCs w:val="28"/>
        </w:rPr>
        <w:t xml:space="preserve">, </w:t>
      </w:r>
      <w:r w:rsidR="005524D4" w:rsidRPr="004960D8">
        <w:rPr>
          <w:sz w:val="28"/>
          <w:szCs w:val="28"/>
        </w:rPr>
        <w:t xml:space="preserve">chủ động </w:t>
      </w:r>
      <w:r w:rsidR="00413F7B" w:rsidRPr="004960D8">
        <w:rPr>
          <w:sz w:val="28"/>
          <w:szCs w:val="28"/>
        </w:rPr>
        <w:t>chuẩn bị</w:t>
      </w:r>
      <w:r w:rsidR="005524D4" w:rsidRPr="004960D8">
        <w:rPr>
          <w:sz w:val="28"/>
          <w:szCs w:val="28"/>
        </w:rPr>
        <w:t xml:space="preserve"> lực lượng, phương tiện, ưu tiện bố trí lực lượng, phương tiện, lương thực, thực phẩm ém tại khu vực vùng sâu vùng xa vùng núi. Trong năm 2025, riêng Q</w:t>
      </w:r>
      <w:r w:rsidR="00413F7B" w:rsidRPr="004960D8">
        <w:rPr>
          <w:sz w:val="28"/>
          <w:szCs w:val="28"/>
        </w:rPr>
        <w:t xml:space="preserve">uân khu </w:t>
      </w:r>
      <w:r w:rsidR="005524D4" w:rsidRPr="004960D8">
        <w:rPr>
          <w:sz w:val="28"/>
          <w:szCs w:val="28"/>
        </w:rPr>
        <w:t xml:space="preserve">4 có những nơi khi thiên tai xảy ra, ko đưa được con người, </w:t>
      </w:r>
      <w:r w:rsidR="00413F7B" w:rsidRPr="004960D8">
        <w:rPr>
          <w:sz w:val="28"/>
          <w:szCs w:val="28"/>
        </w:rPr>
        <w:t>lực lượng</w:t>
      </w:r>
      <w:r w:rsidR="005524D4" w:rsidRPr="004960D8">
        <w:rPr>
          <w:sz w:val="28"/>
          <w:szCs w:val="28"/>
        </w:rPr>
        <w:t xml:space="preserve"> cứu hộ, phương tiện do đó </w:t>
      </w:r>
      <w:r w:rsidR="00413F7B" w:rsidRPr="004960D8">
        <w:rPr>
          <w:sz w:val="28"/>
          <w:szCs w:val="28"/>
        </w:rPr>
        <w:t xml:space="preserve">Quân khu </w:t>
      </w:r>
      <w:r w:rsidR="005524D4" w:rsidRPr="004960D8">
        <w:rPr>
          <w:sz w:val="28"/>
          <w:szCs w:val="28"/>
        </w:rPr>
        <w:t xml:space="preserve">4 </w:t>
      </w:r>
      <w:r w:rsidR="00413F7B" w:rsidRPr="004960D8">
        <w:rPr>
          <w:sz w:val="28"/>
          <w:szCs w:val="28"/>
        </w:rPr>
        <w:t>báo cáo</w:t>
      </w:r>
      <w:r w:rsidR="005524D4" w:rsidRPr="004960D8">
        <w:rPr>
          <w:sz w:val="28"/>
          <w:szCs w:val="28"/>
        </w:rPr>
        <w:t xml:space="preserve"> Bộ QP ém sẵn lực lượng ở bên trong, </w:t>
      </w:r>
      <w:r w:rsidR="00413F7B" w:rsidRPr="004960D8">
        <w:rPr>
          <w:sz w:val="28"/>
          <w:szCs w:val="28"/>
        </w:rPr>
        <w:t>chuẩn bị</w:t>
      </w:r>
      <w:r w:rsidR="005524D4" w:rsidRPr="004960D8">
        <w:rPr>
          <w:sz w:val="28"/>
          <w:szCs w:val="28"/>
        </w:rPr>
        <w:t xml:space="preserve"> sẵn </w:t>
      </w:r>
      <w:r w:rsidR="00413F7B" w:rsidRPr="004960D8">
        <w:rPr>
          <w:sz w:val="28"/>
          <w:szCs w:val="28"/>
        </w:rPr>
        <w:t>lực lượng</w:t>
      </w:r>
      <w:r w:rsidR="005524D4" w:rsidRPr="004960D8">
        <w:rPr>
          <w:sz w:val="28"/>
          <w:szCs w:val="28"/>
        </w:rPr>
        <w:t xml:space="preserve">, phương tiện, </w:t>
      </w:r>
      <w:r w:rsidR="00413F7B" w:rsidRPr="004960D8">
        <w:rPr>
          <w:sz w:val="28"/>
          <w:szCs w:val="28"/>
        </w:rPr>
        <w:t>lương thực, thực phẩm</w:t>
      </w:r>
      <w:r w:rsidR="005524D4" w:rsidRPr="004960D8">
        <w:rPr>
          <w:sz w:val="28"/>
          <w:szCs w:val="28"/>
        </w:rPr>
        <w:t xml:space="preserve"> khi xảy ra là có.</w:t>
      </w:r>
    </w:p>
    <w:p w14:paraId="4FDB7030" w14:textId="64C6C7D8" w:rsidR="005524D4" w:rsidRPr="004960D8" w:rsidRDefault="005524D4" w:rsidP="00413F7B">
      <w:pPr>
        <w:spacing w:after="60" w:line="288" w:lineRule="auto"/>
        <w:ind w:firstLine="709"/>
        <w:rPr>
          <w:sz w:val="28"/>
          <w:szCs w:val="28"/>
        </w:rPr>
      </w:pPr>
      <w:r w:rsidRPr="004960D8">
        <w:rPr>
          <w:sz w:val="28"/>
          <w:szCs w:val="28"/>
        </w:rPr>
        <w:t xml:space="preserve">- Nâng cao chất lượng tập huấn, huấn luyện, diễn tập </w:t>
      </w:r>
      <w:r w:rsidR="00413F7B" w:rsidRPr="004960D8">
        <w:rPr>
          <w:sz w:val="28"/>
          <w:szCs w:val="28"/>
        </w:rPr>
        <w:t>phòng thủ dân sự</w:t>
      </w:r>
      <w:r w:rsidRPr="004960D8">
        <w:rPr>
          <w:sz w:val="28"/>
          <w:szCs w:val="28"/>
        </w:rPr>
        <w:t xml:space="preserve"> cho các ngành, các </w:t>
      </w:r>
      <w:r w:rsidR="00413F7B" w:rsidRPr="004960D8">
        <w:rPr>
          <w:sz w:val="28"/>
          <w:szCs w:val="28"/>
        </w:rPr>
        <w:t>thành phần</w:t>
      </w:r>
      <w:r w:rsidRPr="004960D8">
        <w:rPr>
          <w:sz w:val="28"/>
          <w:szCs w:val="28"/>
        </w:rPr>
        <w:t xml:space="preserve">, đối tượng, kết hợp chặt chẽ giữa huấn luyện với diễn tập các phương án nhằm nâng cao trình độ chỉ huy hiệp đồng cả về ứng phó, tìm kiếm cứu nạn của </w:t>
      </w:r>
      <w:r w:rsidR="00413F7B" w:rsidRPr="004960D8">
        <w:rPr>
          <w:sz w:val="28"/>
          <w:szCs w:val="28"/>
        </w:rPr>
        <w:t>Ban chỉ huy</w:t>
      </w:r>
      <w:r w:rsidRPr="004960D8">
        <w:rPr>
          <w:sz w:val="28"/>
          <w:szCs w:val="28"/>
        </w:rPr>
        <w:t xml:space="preserve"> </w:t>
      </w:r>
      <w:r w:rsidR="00413F7B" w:rsidRPr="004960D8">
        <w:rPr>
          <w:sz w:val="28"/>
          <w:szCs w:val="28"/>
        </w:rPr>
        <w:t>phòng thủ dân sự</w:t>
      </w:r>
      <w:r w:rsidRPr="004960D8">
        <w:rPr>
          <w:sz w:val="28"/>
          <w:szCs w:val="28"/>
        </w:rPr>
        <w:t xml:space="preserve"> các cấp, coi trọng công tác bảo đảm an toàn cho nhân dân, cán bộ, chiến sỹ trong thực hiện nhiệm vụ.</w:t>
      </w:r>
    </w:p>
    <w:p w14:paraId="7F6B34C2" w14:textId="25687C3B" w:rsidR="005524D4" w:rsidRPr="004960D8" w:rsidRDefault="005524D4" w:rsidP="00413F7B">
      <w:pPr>
        <w:spacing w:after="60" w:line="288" w:lineRule="auto"/>
        <w:ind w:firstLine="709"/>
        <w:rPr>
          <w:sz w:val="28"/>
          <w:szCs w:val="28"/>
        </w:rPr>
      </w:pPr>
      <w:r w:rsidRPr="004960D8">
        <w:rPr>
          <w:sz w:val="28"/>
          <w:szCs w:val="28"/>
        </w:rPr>
        <w:t xml:space="preserve">- Làm tốt công tác tuyên truyền, quan tâm, chăm lo đời sống vật chất, tinh thần, bảo đảm đầy đủ, kịp thời chế độ chính sách cho lực lượng làm nhiệm vụ </w:t>
      </w:r>
      <w:r w:rsidR="00413F7B" w:rsidRPr="004960D8">
        <w:rPr>
          <w:sz w:val="28"/>
          <w:szCs w:val="28"/>
        </w:rPr>
        <w:t>phòng thủ dân sự</w:t>
      </w:r>
      <w:r w:rsidRPr="004960D8">
        <w:rPr>
          <w:sz w:val="28"/>
          <w:szCs w:val="28"/>
        </w:rPr>
        <w:t xml:space="preserve">; tăng cường công tác kiểm tra, làm tốt công tác sơ kết, tổng kết, rút kinh nghiệm, kịp thời động viên, khen thưởng những tập thể, cá nhân có thành tích xuất sắc trong ứng phó, </w:t>
      </w:r>
      <w:r w:rsidR="00413F7B" w:rsidRPr="004960D8">
        <w:rPr>
          <w:sz w:val="28"/>
          <w:szCs w:val="28"/>
        </w:rPr>
        <w:t>khắc phục hậu quả</w:t>
      </w:r>
      <w:r w:rsidRPr="004960D8">
        <w:rPr>
          <w:sz w:val="28"/>
          <w:szCs w:val="28"/>
        </w:rPr>
        <w:t xml:space="preserve"> sự cố, thiên tai và tìm kiếm cứu nạn.</w:t>
      </w:r>
    </w:p>
    <w:p w14:paraId="53055D41" w14:textId="652E8ED6" w:rsidR="005524D4" w:rsidRPr="004960D8" w:rsidRDefault="005524D4" w:rsidP="00413F7B">
      <w:pPr>
        <w:spacing w:after="60" w:line="288" w:lineRule="auto"/>
        <w:ind w:firstLine="709"/>
        <w:rPr>
          <w:b/>
          <w:sz w:val="28"/>
          <w:szCs w:val="28"/>
        </w:rPr>
      </w:pPr>
      <w:r w:rsidRPr="004960D8">
        <w:rPr>
          <w:b/>
          <w:sz w:val="28"/>
          <w:szCs w:val="28"/>
        </w:rPr>
        <w:t xml:space="preserve">2. </w:t>
      </w:r>
      <w:r w:rsidR="00D52BD8" w:rsidRPr="004960D8">
        <w:rPr>
          <w:b/>
          <w:sz w:val="28"/>
          <w:szCs w:val="28"/>
        </w:rPr>
        <w:t>Thái Nguyên:</w:t>
      </w:r>
    </w:p>
    <w:p w14:paraId="72383CB1" w14:textId="780BED61" w:rsidR="005C1428" w:rsidRPr="004960D8" w:rsidRDefault="005C1428" w:rsidP="00413F7B">
      <w:pPr>
        <w:spacing w:after="60" w:line="288" w:lineRule="auto"/>
        <w:ind w:firstLine="709"/>
        <w:rPr>
          <w:sz w:val="28"/>
          <w:szCs w:val="28"/>
        </w:rPr>
      </w:pPr>
      <w:r w:rsidRPr="004960D8">
        <w:rPr>
          <w:sz w:val="28"/>
          <w:szCs w:val="28"/>
        </w:rPr>
        <w:t>- Đ</w:t>
      </w:r>
      <w:r w:rsidR="00B3477C" w:rsidRPr="004960D8">
        <w:rPr>
          <w:sz w:val="28"/>
          <w:szCs w:val="28"/>
        </w:rPr>
        <w:t>ề nghị</w:t>
      </w:r>
      <w:r w:rsidRPr="004960D8">
        <w:rPr>
          <w:sz w:val="28"/>
          <w:szCs w:val="28"/>
        </w:rPr>
        <w:t xml:space="preserve"> TTgCP xem xét hỗ trợ kinh phí triển khai dự án xây dựng tuyến đê Hữu sông Cầu, gần 9.000 tỷ đồng</w:t>
      </w:r>
    </w:p>
    <w:p w14:paraId="0098BB07" w14:textId="77777777" w:rsidR="00BE6035" w:rsidRPr="004960D8" w:rsidRDefault="005C1428" w:rsidP="00413F7B">
      <w:pPr>
        <w:spacing w:after="60" w:line="288" w:lineRule="auto"/>
        <w:ind w:firstLine="709"/>
        <w:rPr>
          <w:sz w:val="28"/>
          <w:szCs w:val="28"/>
        </w:rPr>
      </w:pPr>
      <w:r w:rsidRPr="004960D8">
        <w:rPr>
          <w:sz w:val="28"/>
          <w:szCs w:val="28"/>
        </w:rPr>
        <w:t>- Đề nghị BNNMT</w:t>
      </w:r>
      <w:r w:rsidR="00BE6035" w:rsidRPr="004960D8">
        <w:rPr>
          <w:sz w:val="28"/>
          <w:szCs w:val="28"/>
        </w:rPr>
        <w:t>:</w:t>
      </w:r>
    </w:p>
    <w:p w14:paraId="0FB228B7" w14:textId="28A0CD16" w:rsidR="005C1428" w:rsidRPr="004960D8" w:rsidRDefault="00BE6035" w:rsidP="00413F7B">
      <w:pPr>
        <w:spacing w:after="60" w:line="288" w:lineRule="auto"/>
        <w:ind w:firstLine="709"/>
        <w:rPr>
          <w:sz w:val="28"/>
          <w:szCs w:val="28"/>
        </w:rPr>
      </w:pPr>
      <w:r w:rsidRPr="004960D8">
        <w:rPr>
          <w:sz w:val="28"/>
          <w:szCs w:val="28"/>
        </w:rPr>
        <w:t>+</w:t>
      </w:r>
      <w:r w:rsidR="005C1428" w:rsidRPr="004960D8">
        <w:rPr>
          <w:sz w:val="28"/>
          <w:szCs w:val="28"/>
        </w:rPr>
        <w:t xml:space="preserve"> </w:t>
      </w:r>
      <w:r w:rsidR="00413F7B" w:rsidRPr="004960D8">
        <w:rPr>
          <w:sz w:val="28"/>
          <w:szCs w:val="28"/>
        </w:rPr>
        <w:t>S</w:t>
      </w:r>
      <w:r w:rsidR="005C1428" w:rsidRPr="004960D8">
        <w:rPr>
          <w:sz w:val="28"/>
          <w:szCs w:val="28"/>
        </w:rPr>
        <w:t xml:space="preserve">ớm triển khai hồ chứa Văn Lăng, dung tích 9 triệu khối và một số hồ chứa lớn trên lưu vực thượng nguồn để đảm bảo an toàn của tỉnh Thái Nguyên </w:t>
      </w:r>
      <w:r w:rsidR="005C1428" w:rsidRPr="004960D8">
        <w:rPr>
          <w:sz w:val="28"/>
          <w:szCs w:val="28"/>
        </w:rPr>
        <w:lastRenderedPageBreak/>
        <w:t xml:space="preserve">và hạ lưu sông Cầu; sớm đầu tư </w:t>
      </w:r>
      <w:r w:rsidR="00B3477C" w:rsidRPr="004960D8">
        <w:rPr>
          <w:sz w:val="28"/>
          <w:szCs w:val="28"/>
        </w:rPr>
        <w:t>xây dựng</w:t>
      </w:r>
      <w:r w:rsidR="005C1428" w:rsidRPr="004960D8">
        <w:rPr>
          <w:sz w:val="28"/>
          <w:szCs w:val="28"/>
        </w:rPr>
        <w:t xml:space="preserve"> các hồ có tràn thứ hai để đảm bảo đồng bộ phòng chống lũ trên địa bàn; sớm triển khai </w:t>
      </w:r>
      <w:r w:rsidR="003D0922" w:rsidRPr="004960D8">
        <w:rPr>
          <w:sz w:val="28"/>
          <w:szCs w:val="28"/>
        </w:rPr>
        <w:t xml:space="preserve">đồ thị </w:t>
      </w:r>
      <w:r w:rsidR="005C1428" w:rsidRPr="004960D8">
        <w:rPr>
          <w:sz w:val="28"/>
          <w:szCs w:val="28"/>
        </w:rPr>
        <w:t>quy hoạch để đo quy hoạch phòng chống lũ, quy hoạch đê trên sông Hồng</w:t>
      </w:r>
      <w:r w:rsidR="003D0922" w:rsidRPr="004960D8">
        <w:rPr>
          <w:sz w:val="28"/>
          <w:szCs w:val="28"/>
        </w:rPr>
        <w:t>, sông Cầu, sông Thương</w:t>
      </w:r>
      <w:r w:rsidR="00413F7B" w:rsidRPr="004960D8">
        <w:rPr>
          <w:sz w:val="28"/>
          <w:szCs w:val="28"/>
        </w:rPr>
        <w:t>.</w:t>
      </w:r>
    </w:p>
    <w:p w14:paraId="5C26E429" w14:textId="3A7D5A1F" w:rsidR="005C1428" w:rsidRPr="004960D8" w:rsidRDefault="00BE6035" w:rsidP="00413F7B">
      <w:pPr>
        <w:spacing w:after="60" w:line="288" w:lineRule="auto"/>
        <w:ind w:firstLine="709"/>
        <w:rPr>
          <w:sz w:val="28"/>
          <w:szCs w:val="28"/>
        </w:rPr>
      </w:pPr>
      <w:r w:rsidRPr="004960D8">
        <w:rPr>
          <w:sz w:val="28"/>
          <w:szCs w:val="28"/>
        </w:rPr>
        <w:t>+</w:t>
      </w:r>
      <w:r w:rsidR="005C1428" w:rsidRPr="004960D8">
        <w:rPr>
          <w:sz w:val="28"/>
          <w:szCs w:val="28"/>
        </w:rPr>
        <w:t xml:space="preserve"> </w:t>
      </w:r>
      <w:r w:rsidR="003D0922" w:rsidRPr="004960D8">
        <w:rPr>
          <w:sz w:val="28"/>
          <w:szCs w:val="28"/>
        </w:rPr>
        <w:t xml:space="preserve">Thông tin, chia sẻ kết quả nghiên cứu, điều tra, khảo sát, đánh giá và xác định cụ thể các nguyên nhân gây lũ lớn, ngập lụt trên hệ thống sông Cầu và đề xuất các nhiệm vụ, giải pháp tổng thể để ứng phó, thích ứng và triển khai thực hiện </w:t>
      </w:r>
      <w:r w:rsidR="00413F7B" w:rsidRPr="004960D8">
        <w:rPr>
          <w:sz w:val="28"/>
          <w:szCs w:val="28"/>
        </w:rPr>
        <w:t>.</w:t>
      </w:r>
    </w:p>
    <w:p w14:paraId="1FE382D2" w14:textId="172A6FA4" w:rsidR="003D0922" w:rsidRPr="004960D8" w:rsidRDefault="00BE6035" w:rsidP="00413F7B">
      <w:pPr>
        <w:spacing w:after="60" w:line="288" w:lineRule="auto"/>
        <w:ind w:firstLine="709"/>
        <w:rPr>
          <w:sz w:val="28"/>
          <w:szCs w:val="28"/>
        </w:rPr>
      </w:pPr>
      <w:r w:rsidRPr="004960D8">
        <w:rPr>
          <w:sz w:val="28"/>
          <w:szCs w:val="28"/>
        </w:rPr>
        <w:t>+</w:t>
      </w:r>
      <w:r w:rsidR="003D0922" w:rsidRPr="004960D8">
        <w:rPr>
          <w:sz w:val="28"/>
          <w:szCs w:val="28"/>
        </w:rPr>
        <w:t xml:space="preserve"> </w:t>
      </w:r>
      <w:r w:rsidRPr="004960D8">
        <w:rPr>
          <w:sz w:val="28"/>
          <w:szCs w:val="28"/>
        </w:rPr>
        <w:t>Tăng cường công tác đào tạo và n</w:t>
      </w:r>
      <w:r w:rsidR="003D0922" w:rsidRPr="004960D8">
        <w:rPr>
          <w:sz w:val="28"/>
          <w:szCs w:val="28"/>
        </w:rPr>
        <w:t xml:space="preserve">âng cao năng lực cho </w:t>
      </w:r>
      <w:r w:rsidR="00413F7B" w:rsidRPr="004960D8">
        <w:rPr>
          <w:sz w:val="28"/>
          <w:szCs w:val="28"/>
        </w:rPr>
        <w:t xml:space="preserve">lực lượng phòng, chống thiên tai </w:t>
      </w:r>
      <w:r w:rsidRPr="004960D8">
        <w:rPr>
          <w:sz w:val="28"/>
          <w:szCs w:val="28"/>
        </w:rPr>
        <w:t xml:space="preserve">cấp cơ sở; hiện nay trang thiết bị và phương tiện chuyên dụng để phòng chống lũ, đặc biệt là những khu vực thường xuyên xảy ra lũ lụt còn rất thiếu, mong nhận được sự hỗ trợ để tăng cường phương tiện, trang thiết bị </w:t>
      </w:r>
      <w:r w:rsidR="00413F7B" w:rsidRPr="004960D8">
        <w:rPr>
          <w:sz w:val="28"/>
          <w:szCs w:val="28"/>
        </w:rPr>
        <w:t xml:space="preserve">cứu hộ, cứu nạn </w:t>
      </w:r>
      <w:r w:rsidRPr="004960D8">
        <w:rPr>
          <w:sz w:val="28"/>
          <w:szCs w:val="28"/>
        </w:rPr>
        <w:t xml:space="preserve">và đẩy mạnh nâng cao nhận thức cộng đồng trong các chương trình truyền thông về </w:t>
      </w:r>
      <w:r w:rsidR="00413F7B" w:rsidRPr="004960D8">
        <w:rPr>
          <w:sz w:val="28"/>
          <w:szCs w:val="28"/>
        </w:rPr>
        <w:t>phòng, chống thiên tai</w:t>
      </w:r>
      <w:r w:rsidRPr="004960D8">
        <w:rPr>
          <w:sz w:val="28"/>
          <w:szCs w:val="28"/>
        </w:rPr>
        <w:t>.</w:t>
      </w:r>
    </w:p>
    <w:p w14:paraId="0CCF4FC9" w14:textId="07000E8D" w:rsidR="00BE6035" w:rsidRPr="004960D8" w:rsidRDefault="00BE6035" w:rsidP="00413F7B">
      <w:pPr>
        <w:spacing w:after="60" w:line="288" w:lineRule="auto"/>
        <w:ind w:firstLine="709"/>
        <w:rPr>
          <w:b/>
          <w:sz w:val="28"/>
          <w:szCs w:val="28"/>
        </w:rPr>
      </w:pPr>
      <w:r w:rsidRPr="004960D8">
        <w:rPr>
          <w:b/>
          <w:sz w:val="28"/>
          <w:szCs w:val="28"/>
        </w:rPr>
        <w:t>3. Nghệ An:</w:t>
      </w:r>
    </w:p>
    <w:p w14:paraId="5B0BFC02" w14:textId="7FC41A97" w:rsidR="00984787" w:rsidRPr="004960D8" w:rsidRDefault="00984787" w:rsidP="00413F7B">
      <w:pPr>
        <w:spacing w:after="60" w:line="288" w:lineRule="auto"/>
        <w:ind w:firstLine="709"/>
        <w:rPr>
          <w:sz w:val="28"/>
          <w:szCs w:val="28"/>
        </w:rPr>
      </w:pPr>
      <w:r w:rsidRPr="004960D8">
        <w:rPr>
          <w:sz w:val="28"/>
          <w:szCs w:val="28"/>
        </w:rPr>
        <w:t>Đề nghị TTgC</w:t>
      </w:r>
      <w:r w:rsidR="00B3477C" w:rsidRPr="004960D8">
        <w:rPr>
          <w:sz w:val="28"/>
          <w:szCs w:val="28"/>
        </w:rPr>
        <w:t>P</w:t>
      </w:r>
      <w:r w:rsidRPr="004960D8">
        <w:rPr>
          <w:sz w:val="28"/>
          <w:szCs w:val="28"/>
        </w:rPr>
        <w:t xml:space="preserve"> tiếp tục quan tâm, bố trí nguồn lực đầu tư cho các công trình </w:t>
      </w:r>
      <w:r w:rsidR="00413F7B" w:rsidRPr="004960D8">
        <w:rPr>
          <w:sz w:val="28"/>
          <w:szCs w:val="28"/>
        </w:rPr>
        <w:t>phòng, chống thiên tai</w:t>
      </w:r>
      <w:r w:rsidRPr="004960D8">
        <w:rPr>
          <w:sz w:val="28"/>
          <w:szCs w:val="28"/>
        </w:rPr>
        <w:t>, có cơ chế đặc thù để hỗ trợ các tỉnh thường xuyên chịu ảnh hưởng của thiên tai như cơ sở hạ tầng về giao thông, thủy lợi, điện, viễn thông.</w:t>
      </w:r>
    </w:p>
    <w:p w14:paraId="69D79F58" w14:textId="4EB6F504" w:rsidR="00984787" w:rsidRPr="004960D8" w:rsidRDefault="00984787" w:rsidP="00413F7B">
      <w:pPr>
        <w:spacing w:after="60" w:line="288" w:lineRule="auto"/>
        <w:ind w:firstLine="709"/>
        <w:rPr>
          <w:sz w:val="28"/>
          <w:szCs w:val="28"/>
        </w:rPr>
      </w:pPr>
      <w:r w:rsidRPr="004960D8">
        <w:rPr>
          <w:sz w:val="28"/>
          <w:szCs w:val="28"/>
        </w:rPr>
        <w:t xml:space="preserve">Các Bộ ngành tiếp tục hỗ trợ nâng cấp các hệ thống cảnh báo dự báo hiện đại, công tác cảnh báo, dự báo được thực hiện càng sớm càng tốt để địa phương có thể chủ động hơn trong phòng ngừa, ứng phó; tăng cường cung cấp trang thiết bị </w:t>
      </w:r>
      <w:r w:rsidR="00413F7B" w:rsidRPr="004960D8">
        <w:rPr>
          <w:sz w:val="28"/>
          <w:szCs w:val="28"/>
        </w:rPr>
        <w:t>cứu hộ, cứu nạn</w:t>
      </w:r>
      <w:r w:rsidRPr="004960D8">
        <w:rPr>
          <w:sz w:val="28"/>
          <w:szCs w:val="28"/>
        </w:rPr>
        <w:t>.</w:t>
      </w:r>
    </w:p>
    <w:p w14:paraId="5FDD9A56" w14:textId="6CDACE6C" w:rsidR="00984787" w:rsidRPr="004960D8" w:rsidRDefault="00984787" w:rsidP="00413F7B">
      <w:pPr>
        <w:spacing w:after="60" w:line="288" w:lineRule="auto"/>
        <w:ind w:firstLine="709"/>
        <w:rPr>
          <w:b/>
          <w:sz w:val="28"/>
          <w:szCs w:val="28"/>
        </w:rPr>
      </w:pPr>
      <w:r w:rsidRPr="004960D8">
        <w:rPr>
          <w:b/>
          <w:sz w:val="28"/>
          <w:szCs w:val="28"/>
        </w:rPr>
        <w:t xml:space="preserve">4. </w:t>
      </w:r>
      <w:r w:rsidR="00F423E3" w:rsidRPr="004960D8">
        <w:rPr>
          <w:b/>
          <w:sz w:val="28"/>
          <w:szCs w:val="28"/>
        </w:rPr>
        <w:t>Mặt trận Tổ quốc</w:t>
      </w:r>
      <w:r w:rsidR="00B3477C" w:rsidRPr="004960D8">
        <w:rPr>
          <w:b/>
          <w:sz w:val="28"/>
          <w:szCs w:val="28"/>
        </w:rPr>
        <w:t xml:space="preserve"> Việt Nam</w:t>
      </w:r>
    </w:p>
    <w:p w14:paraId="6BAEE70F" w14:textId="5BE266F4" w:rsidR="00F423E3" w:rsidRPr="004960D8" w:rsidRDefault="00201DFA" w:rsidP="00413F7B">
      <w:pPr>
        <w:spacing w:after="60" w:line="288" w:lineRule="auto"/>
        <w:ind w:firstLine="709"/>
        <w:rPr>
          <w:sz w:val="28"/>
          <w:szCs w:val="28"/>
        </w:rPr>
      </w:pPr>
      <w:r w:rsidRPr="004960D8">
        <w:rPr>
          <w:sz w:val="28"/>
          <w:szCs w:val="28"/>
        </w:rPr>
        <w:t xml:space="preserve">- </w:t>
      </w:r>
      <w:r w:rsidR="004605DD" w:rsidRPr="004960D8">
        <w:rPr>
          <w:sz w:val="28"/>
          <w:szCs w:val="28"/>
        </w:rPr>
        <w:t>Đề nghị Chính phủ</w:t>
      </w:r>
      <w:r w:rsidRPr="004960D8">
        <w:rPr>
          <w:sz w:val="28"/>
          <w:szCs w:val="28"/>
        </w:rPr>
        <w:t>, các bộ ngành tiếp tục quan tâm, phối hợp chặt chẽ hiệu quả với UBTW MTTQVN trong công tác kêu gọi, vận động hỗ trợ nhân dân bị ảnh hưởng bởi thiên tai; Chính phủ tiếp tục chỉ đạo, đôn đốc việc tổ chức hỗ trợ kịp thời đến với người dân vùng thiệt hại khi có tình huống xảy ra, đảm bảo thuận lợi nhanh chóng công khai minh bạch, hiệu quả cũng như tận dụng nguồn lực cao nhất.</w:t>
      </w:r>
    </w:p>
    <w:p w14:paraId="7B83B2C5" w14:textId="0E0152B5" w:rsidR="00984787" w:rsidRPr="004960D8" w:rsidRDefault="00201DFA" w:rsidP="00413F7B">
      <w:pPr>
        <w:spacing w:after="60" w:line="288" w:lineRule="auto"/>
        <w:ind w:firstLine="709"/>
        <w:rPr>
          <w:sz w:val="28"/>
          <w:szCs w:val="28"/>
        </w:rPr>
      </w:pPr>
      <w:r w:rsidRPr="004960D8">
        <w:rPr>
          <w:sz w:val="28"/>
          <w:szCs w:val="28"/>
        </w:rPr>
        <w:t>- Đề nghị cấp ủy chính quyền các đp, khi có tình huống thiên tai tiếp tục phối hợp với Mặt trận T</w:t>
      </w:r>
      <w:r w:rsidR="00B3477C" w:rsidRPr="004960D8">
        <w:rPr>
          <w:sz w:val="28"/>
          <w:szCs w:val="28"/>
        </w:rPr>
        <w:t>ổ quốc Việt Nam</w:t>
      </w:r>
      <w:r w:rsidRPr="004960D8">
        <w:rPr>
          <w:sz w:val="28"/>
          <w:szCs w:val="28"/>
        </w:rPr>
        <w:t xml:space="preserve"> các cấp để nhanh chóng chỉ đạo rà soát, xác định đối tượng thiệt hại, tổ chức phân bổ giám sát việc sử dụng các nguồn lực cứu trợ, đảm bảo đúng quy định, công khai minh bạch. Đối với các địa phương không bị thiệt hại, khi hưởng ứng lời kêu gọi của UBTW MTTQVN, đề nghị tập trung nguồn lực vận động về đầu mối của Ban Vận động cứu trợ Trung ương để thực hiện điều phối, phân bổ cho các địa phương bị thiệt hại trên </w:t>
      </w:r>
      <w:r w:rsidRPr="004960D8">
        <w:rPr>
          <w:sz w:val="28"/>
          <w:szCs w:val="28"/>
        </w:rPr>
        <w:lastRenderedPageBreak/>
        <w:t>cơ sở mức độ đánh giá thiệt hại của Chính phủ đảm bảo sự cân đối giữa các địa phương.</w:t>
      </w:r>
    </w:p>
    <w:p w14:paraId="5E0B2F86" w14:textId="77777777" w:rsidR="00E503CD" w:rsidRPr="00E503CD" w:rsidRDefault="00E503CD" w:rsidP="00413F7B">
      <w:pPr>
        <w:spacing w:after="60" w:line="288" w:lineRule="auto"/>
        <w:ind w:firstLine="709"/>
        <w:rPr>
          <w:b/>
          <w:szCs w:val="26"/>
        </w:rPr>
      </w:pPr>
    </w:p>
    <w:sectPr w:rsidR="00E503CD" w:rsidRPr="00E503CD" w:rsidSect="004960D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EBE15" w14:textId="77777777" w:rsidR="005C4ED8" w:rsidRDefault="005C4ED8" w:rsidP="004960D8">
      <w:pPr>
        <w:spacing w:after="0" w:line="240" w:lineRule="auto"/>
      </w:pPr>
      <w:r>
        <w:separator/>
      </w:r>
    </w:p>
  </w:endnote>
  <w:endnote w:type="continuationSeparator" w:id="0">
    <w:p w14:paraId="123C0A0A" w14:textId="77777777" w:rsidR="005C4ED8" w:rsidRDefault="005C4ED8" w:rsidP="0049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EFA9" w14:textId="77777777" w:rsidR="005C4ED8" w:rsidRDefault="005C4ED8" w:rsidP="004960D8">
      <w:pPr>
        <w:spacing w:after="0" w:line="240" w:lineRule="auto"/>
      </w:pPr>
      <w:r>
        <w:separator/>
      </w:r>
    </w:p>
  </w:footnote>
  <w:footnote w:type="continuationSeparator" w:id="0">
    <w:p w14:paraId="47C37B9C" w14:textId="77777777" w:rsidR="005C4ED8" w:rsidRDefault="005C4ED8" w:rsidP="00496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887130"/>
      <w:docPartObj>
        <w:docPartGallery w:val="Page Numbers (Top of Page)"/>
        <w:docPartUnique/>
      </w:docPartObj>
    </w:sdtPr>
    <w:sdtEndPr>
      <w:rPr>
        <w:noProof/>
      </w:rPr>
    </w:sdtEndPr>
    <w:sdtContent>
      <w:p w14:paraId="773C9B6D" w14:textId="52CF25A1" w:rsidR="004960D8" w:rsidRDefault="004960D8">
        <w:pPr>
          <w:pStyle w:val="Header"/>
          <w:jc w:val="center"/>
        </w:pPr>
        <w:r>
          <w:fldChar w:fldCharType="begin"/>
        </w:r>
        <w:r>
          <w:instrText xml:space="preserve"> PAGE   \* MERGEFORMAT </w:instrText>
        </w:r>
        <w:r>
          <w:fldChar w:fldCharType="separate"/>
        </w:r>
        <w:r w:rsidR="00FF5485">
          <w:rPr>
            <w:noProof/>
          </w:rPr>
          <w:t>2</w:t>
        </w:r>
        <w:r>
          <w:rPr>
            <w:noProof/>
          </w:rPr>
          <w:fldChar w:fldCharType="end"/>
        </w:r>
      </w:p>
    </w:sdtContent>
  </w:sdt>
  <w:p w14:paraId="7B2A95C7" w14:textId="77777777" w:rsidR="004960D8" w:rsidRDefault="00496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12"/>
    <w:rsid w:val="00061945"/>
    <w:rsid w:val="001256FF"/>
    <w:rsid w:val="00201DFA"/>
    <w:rsid w:val="00231B96"/>
    <w:rsid w:val="0026705E"/>
    <w:rsid w:val="003D0922"/>
    <w:rsid w:val="003E2EF6"/>
    <w:rsid w:val="00413F7B"/>
    <w:rsid w:val="004605DD"/>
    <w:rsid w:val="00467CEC"/>
    <w:rsid w:val="004960D8"/>
    <w:rsid w:val="005524D4"/>
    <w:rsid w:val="005C1428"/>
    <w:rsid w:val="005C4ED8"/>
    <w:rsid w:val="0062321F"/>
    <w:rsid w:val="0063794F"/>
    <w:rsid w:val="00727B94"/>
    <w:rsid w:val="008206FC"/>
    <w:rsid w:val="00984787"/>
    <w:rsid w:val="00992512"/>
    <w:rsid w:val="00A15443"/>
    <w:rsid w:val="00AA5A67"/>
    <w:rsid w:val="00B3477C"/>
    <w:rsid w:val="00B602FD"/>
    <w:rsid w:val="00BE6035"/>
    <w:rsid w:val="00C114B8"/>
    <w:rsid w:val="00D52BD8"/>
    <w:rsid w:val="00E503CD"/>
    <w:rsid w:val="00E7611B"/>
    <w:rsid w:val="00F423E3"/>
    <w:rsid w:val="00F506B4"/>
    <w:rsid w:val="00F84CDA"/>
    <w:rsid w:val="00FF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Header">
    <w:name w:val="header"/>
    <w:basedOn w:val="Normal"/>
    <w:link w:val="HeaderChar"/>
    <w:uiPriority w:val="99"/>
    <w:unhideWhenUsed/>
    <w:rsid w:val="00496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D8"/>
    <w:rPr>
      <w:rFonts w:ascii="Times New Roman" w:hAnsi="Times New Roman"/>
      <w:sz w:val="26"/>
    </w:rPr>
  </w:style>
  <w:style w:type="paragraph" w:styleId="Footer">
    <w:name w:val="footer"/>
    <w:basedOn w:val="Normal"/>
    <w:link w:val="FooterChar"/>
    <w:uiPriority w:val="99"/>
    <w:unhideWhenUsed/>
    <w:rsid w:val="00496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D8"/>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Header">
    <w:name w:val="header"/>
    <w:basedOn w:val="Normal"/>
    <w:link w:val="HeaderChar"/>
    <w:uiPriority w:val="99"/>
    <w:unhideWhenUsed/>
    <w:rsid w:val="00496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D8"/>
    <w:rPr>
      <w:rFonts w:ascii="Times New Roman" w:hAnsi="Times New Roman"/>
      <w:sz w:val="26"/>
    </w:rPr>
  </w:style>
  <w:style w:type="paragraph" w:styleId="Footer">
    <w:name w:val="footer"/>
    <w:basedOn w:val="Normal"/>
    <w:link w:val="FooterChar"/>
    <w:uiPriority w:val="99"/>
    <w:unhideWhenUsed/>
    <w:rsid w:val="00496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D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THAI HA</cp:lastModifiedBy>
  <cp:revision>2</cp:revision>
  <cp:lastPrinted>2026-04-02T13:23:00Z</cp:lastPrinted>
  <dcterms:created xsi:type="dcterms:W3CDTF">2026-04-21T09:53:00Z</dcterms:created>
  <dcterms:modified xsi:type="dcterms:W3CDTF">2026-04-21T09:53:00Z</dcterms:modified>
</cp:coreProperties>
</file>