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60"/>
        <w:gridCol w:w="7370"/>
      </w:tblGrid>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Tên thủ tục</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Giải quyết yêu cầu bồi thường tại cơ quan trực tiếp quản lý người thi hành công vụ gây thiệt hại (cấp xã)</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Tên tắt</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2.002165.000.00.00.H14</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Lĩnh vực</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Bồi thường nhà nước (Bộ Tư pháp)</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Cơ quan thực hiện</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Cơ quan trực tiếp quản lý người thi hành công vụ gây thiệt hại trong hoạt động quản lý hành chính quy định tại Điều 33 của Luật TNBTCNN năm 2017 ở cấp xã, đang khai</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Cách thức thực hiện</w:t>
            </w:r>
          </w:p>
        </w:tc>
        <w:tc>
          <w:tcPr>
            <w:tcW w:w="3711" w:type="pct"/>
            <w:shd w:val="clear" w:color="auto" w:fill="auto"/>
            <w:tcMar>
              <w:top w:w="150" w:type="dxa"/>
              <w:left w:w="150" w:type="dxa"/>
              <w:bottom w:w="150" w:type="dxa"/>
              <w:right w:w="150" w:type="dxa"/>
            </w:tcMar>
            <w:hideMark/>
          </w:tcPr>
          <w:p w:rsidR="00445849" w:rsidRPr="00445849" w:rsidRDefault="00445849" w:rsidP="00445849">
            <w:pPr>
              <w:numPr>
                <w:ilvl w:val="0"/>
                <w:numId w:val="1"/>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Trực tiếp</w:t>
            </w:r>
          </w:p>
          <w:p w:rsidR="00445849" w:rsidRPr="00445849" w:rsidRDefault="00445849" w:rsidP="00445849">
            <w:pPr>
              <w:numPr>
                <w:ilvl w:val="0"/>
                <w:numId w:val="1"/>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Dịch vụ bưu chính</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Đối tượng thực hiện</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Tổ chức</w:t>
            </w:r>
          </w:p>
        </w:tc>
      </w:tr>
      <w:tr w:rsidR="0014599C" w:rsidRPr="00445849" w:rsidTr="0014599C">
        <w:tc>
          <w:tcPr>
            <w:tcW w:w="1289" w:type="pct"/>
            <w:shd w:val="clear" w:color="auto" w:fill="auto"/>
            <w:hideMark/>
          </w:tcPr>
          <w:p w:rsidR="00445849" w:rsidRPr="00445849" w:rsidRDefault="00445849" w:rsidP="00445849">
            <w:pPr>
              <w:spacing w:after="0" w:line="240" w:lineRule="auto"/>
              <w:rPr>
                <w:rFonts w:ascii="Times New Roman" w:eastAsia="Times New Roman" w:hAnsi="Times New Roman" w:cs="Times New Roman"/>
                <w:sz w:val="28"/>
                <w:szCs w:val="28"/>
              </w:rPr>
            </w:pPr>
          </w:p>
        </w:tc>
        <w:tc>
          <w:tcPr>
            <w:tcW w:w="3711" w:type="pct"/>
            <w:shd w:val="clear" w:color="auto" w:fill="auto"/>
            <w:hideMark/>
          </w:tcPr>
          <w:p w:rsidR="00445849" w:rsidRPr="00445849" w:rsidRDefault="00445849" w:rsidP="00445849">
            <w:pPr>
              <w:spacing w:after="0" w:line="240" w:lineRule="auto"/>
              <w:rPr>
                <w:rFonts w:ascii="Times New Roman" w:eastAsia="Times New Roman" w:hAnsi="Times New Roman" w:cs="Times New Roman"/>
                <w:sz w:val="28"/>
                <w:szCs w:val="28"/>
              </w:rPr>
            </w:pP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Trình tự thực hiện</w:t>
            </w:r>
          </w:p>
        </w:tc>
        <w:tc>
          <w:tcPr>
            <w:tcW w:w="3711" w:type="pct"/>
            <w:shd w:val="clear" w:color="auto" w:fill="auto"/>
            <w:tcMar>
              <w:top w:w="150" w:type="dxa"/>
              <w:left w:w="150" w:type="dxa"/>
              <w:bottom w:w="150" w:type="dxa"/>
              <w:right w:w="150" w:type="dxa"/>
            </w:tcMar>
            <w:hideMark/>
          </w:tcPr>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Tiếp nhận và xử lý hồ sơ;</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Thụ lý hồ sơ;</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Cử người giải quyết bồi thường;</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Tạm ứng kinh phí bồi thường thiệt hại;</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Xác minh thiệt hại;</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Thương lượng việc bồi thường;</w:t>
            </w:r>
          </w:p>
          <w:p w:rsidR="00445849" w:rsidRPr="00445849" w:rsidRDefault="00445849" w:rsidP="00445849">
            <w:pPr>
              <w:numPr>
                <w:ilvl w:val="0"/>
                <w:numId w:val="2"/>
              </w:numPr>
              <w:spacing w:after="15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Ra quyết định giải quyết bồi thường (sau khi ra quyết định giải quyết bồi thường, cơ quan trực tiếp quản lý người thi hành công vụ gây thiệt hại phải lập hồ sơ đề nghị cấp kinh phí bồi thường đến cơ quan tài chính có thẩm quyền để đề nghị cấp kinh phí bồi thường và chi trả tiền bồi thường cho người yêu cầu bồi thường).</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Thời hạn giải quyết</w:t>
            </w:r>
          </w:p>
        </w:tc>
        <w:tc>
          <w:tcPr>
            <w:tcW w:w="3711" w:type="pct"/>
            <w:shd w:val="clear" w:color="auto" w:fill="auto"/>
            <w:tcMar>
              <w:top w:w="150" w:type="dxa"/>
              <w:left w:w="150" w:type="dxa"/>
              <w:bottom w:w="150" w:type="dxa"/>
              <w:right w:w="150" w:type="dxa"/>
            </w:tcMar>
            <w:hideMark/>
          </w:tcPr>
          <w:p w:rsidR="00445849" w:rsidRPr="00445849" w:rsidRDefault="00445849" w:rsidP="00445849">
            <w:pPr>
              <w:numPr>
                <w:ilvl w:val="0"/>
                <w:numId w:val="3"/>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Trực tiếp</w:t>
            </w:r>
          </w:p>
          <w:p w:rsidR="00445849" w:rsidRPr="00445849" w:rsidRDefault="00445849" w:rsidP="00445849">
            <w:pPr>
              <w:numPr>
                <w:ilvl w:val="0"/>
                <w:numId w:val="3"/>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i/>
                <w:iCs/>
                <w:sz w:val="28"/>
                <w:szCs w:val="28"/>
                <w:bdr w:val="none" w:sz="0" w:space="0" w:color="auto" w:frame="1"/>
              </w:rPr>
              <w:t>90 Ngày</w:t>
            </w:r>
            <w:r w:rsidRPr="00445849">
              <w:rPr>
                <w:rFonts w:ascii="Times New Roman" w:eastAsia="Times New Roman" w:hAnsi="Times New Roman" w:cs="Times New Roman"/>
                <w:sz w:val="28"/>
                <w:szCs w:val="28"/>
              </w:rPr>
              <w:br/>
            </w:r>
          </w:p>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w:t>
            </w:r>
            <w:r w:rsidRPr="00445849">
              <w:rPr>
                <w:rFonts w:ascii="Times New Roman" w:eastAsia="Times New Roman" w:hAnsi="Times New Roman" w:cs="Times New Roman"/>
                <w:sz w:val="28"/>
                <w:szCs w:val="28"/>
              </w:rPr>
              <w:lastRenderedPageBreak/>
              <w:t xml:space="preserve">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 - Trong thời hạn 02 ngày làm việc kể từ ngày nhận được hồ sơ hợp lệ theo quy định tại Điều 41 của Luật Trách nhiệm bồi thường của Nhà nước năm 2017 cơ quan giải quyết bồi thường phải thụ lý hồ sơ và vào sổ thụ lý. - Trong thời hạn 02 ngày làm việc kể từ ngày thụ lý hồ sơ, cơ quan giải quyết bồi thường phải cử người giải quyết bồi thường. -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w:t>
            </w:r>
            <w:r w:rsidRPr="00445849">
              <w:rPr>
                <w:rFonts w:ascii="Times New Roman" w:eastAsia="Times New Roman" w:hAnsi="Times New Roman" w:cs="Times New Roman"/>
                <w:sz w:val="28"/>
                <w:szCs w:val="28"/>
              </w:rPr>
              <w:lastRenderedPageBreak/>
              <w:t>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 -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 -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 -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p w:rsidR="00445849" w:rsidRPr="00445849" w:rsidRDefault="00445849" w:rsidP="00445849">
            <w:pPr>
              <w:spacing w:after="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Dịch vụ bưu chính</w:t>
            </w:r>
          </w:p>
          <w:p w:rsidR="00445849" w:rsidRPr="00445849" w:rsidRDefault="00445849" w:rsidP="00445849">
            <w:pPr>
              <w:numPr>
                <w:ilvl w:val="0"/>
                <w:numId w:val="3"/>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i/>
                <w:iCs/>
                <w:sz w:val="28"/>
                <w:szCs w:val="28"/>
                <w:bdr w:val="none" w:sz="0" w:space="0" w:color="auto" w:frame="1"/>
              </w:rPr>
              <w:lastRenderedPageBreak/>
              <w:t>92 Ngày</w:t>
            </w:r>
            <w:r w:rsidRPr="00445849">
              <w:rPr>
                <w:rFonts w:ascii="Times New Roman" w:eastAsia="Times New Roman" w:hAnsi="Times New Roman" w:cs="Times New Roman"/>
                <w:sz w:val="28"/>
                <w:szCs w:val="28"/>
              </w:rPr>
              <w:br/>
            </w:r>
          </w:p>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 - Trong thời hạn 02 ngày làm việc kể từ ngày nhận được hồ sơ hợp lệ theo quy định tại Điều 41 của Luật Trách nhiệm bồi thường của Nhà nước năm 2017 cơ quan giải quyết bồi thường phải thụ lý hồ sơ và vào sổ thụ lý. - Trong thời hạn 02 ngày làm việc kể từ ngày thụ lý hồ sơ, cơ quan giải quyết bồi thường phải cử người giải quyết bồi thường. -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w:t>
            </w:r>
            <w:r w:rsidRPr="00445849">
              <w:rPr>
                <w:rFonts w:ascii="Times New Roman" w:eastAsia="Times New Roman" w:hAnsi="Times New Roman" w:cs="Times New Roman"/>
                <w:sz w:val="28"/>
                <w:szCs w:val="28"/>
              </w:rPr>
              <w:lastRenderedPageBreak/>
              <w:t xml:space="preserve">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 -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 -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 -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w:t>
            </w:r>
            <w:r w:rsidRPr="00445849">
              <w:rPr>
                <w:rFonts w:ascii="Times New Roman" w:eastAsia="Times New Roman" w:hAnsi="Times New Roman" w:cs="Times New Roman"/>
                <w:sz w:val="28"/>
                <w:szCs w:val="28"/>
              </w:rPr>
              <w:lastRenderedPageBreak/>
              <w:t>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lastRenderedPageBreak/>
              <w:t>Phí</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Không</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Lệ Phí</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Không</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Thành phần hồ sơ</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before="150" w:after="150" w:line="240" w:lineRule="auto"/>
              <w:textAlignment w:val="baseline"/>
              <w:outlineLvl w:val="3"/>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Trường hợp người bị thiệt hại trực tiếp yêu cầu bồi thường</w:t>
            </w:r>
          </w:p>
          <w:tbl>
            <w:tblPr>
              <w:tblW w:w="0" w:type="auto"/>
              <w:tblCellMar>
                <w:left w:w="0" w:type="dxa"/>
                <w:right w:w="0" w:type="dxa"/>
              </w:tblCellMar>
              <w:tblLook w:val="04A0" w:firstRow="1" w:lastRow="0" w:firstColumn="1" w:lastColumn="0" w:noHBand="0" w:noVBand="1"/>
            </w:tblPr>
            <w:tblGrid>
              <w:gridCol w:w="3582"/>
              <w:gridCol w:w="1996"/>
              <w:gridCol w:w="1476"/>
            </w:tblGrid>
            <w:tr w:rsidR="0014599C" w:rsidRPr="00445849" w:rsidTr="00445849">
              <w:trPr>
                <w:tblHeader/>
              </w:trPr>
              <w:tc>
                <w:tcPr>
                  <w:tcW w:w="4335"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t>Tên giấy tờ</w:t>
                  </w:r>
                </w:p>
              </w:tc>
              <w:tc>
                <w:tcPr>
                  <w:tcW w:w="2176"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t>Mẫu đơn, tờ khai</w:t>
                  </w:r>
                </w:p>
              </w:tc>
              <w:tc>
                <w:tcPr>
                  <w:tcW w:w="1647" w:type="dxa"/>
                  <w:tcBorders>
                    <w:top w:val="single" w:sz="6" w:space="0" w:color="2C92E2"/>
                    <w:left w:val="single" w:sz="6" w:space="0" w:color="2C92E2"/>
                    <w:bottom w:val="single" w:sz="6" w:space="0" w:color="2C92E2"/>
                    <w:right w:val="single" w:sz="6" w:space="0" w:color="2C92E2"/>
                  </w:tcBorders>
                  <w:shd w:val="clear" w:color="auto" w:fill="auto"/>
                  <w:tcMar>
                    <w:top w:w="150" w:type="dxa"/>
                    <w:left w:w="150" w:type="dxa"/>
                    <w:bottom w:w="150" w:type="dxa"/>
                    <w:right w:w="150" w:type="dxa"/>
                  </w:tcMar>
                  <w:hideMark/>
                </w:tcPr>
                <w:p w:rsidR="00445849" w:rsidRPr="00445849" w:rsidRDefault="00445849" w:rsidP="00445849">
                  <w:pPr>
                    <w:rPr>
                      <w:rFonts w:ascii="Times New Roman" w:hAnsi="Times New Roman" w:cs="Times New Roman"/>
                      <w:sz w:val="24"/>
                      <w:szCs w:val="24"/>
                    </w:rPr>
                  </w:pPr>
                </w:p>
                <w:p w:rsidR="00445849" w:rsidRPr="00445849" w:rsidRDefault="00445849" w:rsidP="00445849">
                  <w:pPr>
                    <w:rPr>
                      <w:rFonts w:ascii="Times New Roman" w:hAnsi="Times New Roman" w:cs="Times New Roman"/>
                      <w:sz w:val="24"/>
                      <w:szCs w:val="24"/>
                    </w:rPr>
                  </w:pPr>
                  <w:r w:rsidRPr="00445849">
                    <w:rPr>
                      <w:rFonts w:ascii="Times New Roman" w:hAnsi="Times New Roman" w:cs="Times New Roman"/>
                      <w:sz w:val="24"/>
                      <w:szCs w:val="24"/>
                    </w:rPr>
                    <w:t>Số lượng</w:t>
                  </w:r>
                </w:p>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t>ố lượng</w:t>
                  </w:r>
                </w:p>
              </w:tc>
            </w:tr>
            <w:tr w:rsidR="0014599C" w:rsidRPr="00445849" w:rsidTr="00445849">
              <w:tc>
                <w:tcPr>
                  <w:tcW w:w="43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Văn bản yêu cầu bồi thường;</w:t>
                  </w:r>
                </w:p>
              </w:tc>
              <w:tc>
                <w:tcPr>
                  <w:tcW w:w="217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bdr w:val="none" w:sz="0" w:space="0" w:color="auto" w:frame="1"/>
                    </w:rPr>
                    <w:t>Văn bản yêu cầu bồi thường.doc</w:t>
                  </w:r>
                </w:p>
              </w:tc>
              <w:tc>
                <w:tcPr>
                  <w:tcW w:w="164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1</w:t>
                  </w:r>
                  <w:r w:rsidRPr="00445849">
                    <w:rPr>
                      <w:rFonts w:ascii="Times New Roman" w:eastAsia="Times New Roman" w:hAnsi="Times New Roman" w:cs="Times New Roman"/>
                      <w:sz w:val="24"/>
                      <w:szCs w:val="24"/>
                    </w:rPr>
                    <w:br/>
                    <w:t>Bản sao: 0</w:t>
                  </w:r>
                </w:p>
              </w:tc>
            </w:tr>
            <w:tr w:rsidR="0014599C" w:rsidRPr="00445849" w:rsidTr="00445849">
              <w:tc>
                <w:tcPr>
                  <w:tcW w:w="43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Văn bản làm căn cứ yêu cầu bồi thường, trừ trường hợp người bị thiệt hại không được gửi hoặc không thể có văn bản làm căn cứ yêu cầu bồi thường;</w:t>
                  </w:r>
                </w:p>
              </w:tc>
              <w:tc>
                <w:tcPr>
                  <w:tcW w:w="217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64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3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Giấy tờ chứng minh nhân thân của người bị thiệt hại;</w:t>
                  </w:r>
                </w:p>
              </w:tc>
              <w:tc>
                <w:tcPr>
                  <w:tcW w:w="217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64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33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Tài liệu, chứng cứ có liên quan đến việc yêu cầu bồi thường (nếu có).</w:t>
                  </w:r>
                </w:p>
              </w:tc>
              <w:tc>
                <w:tcPr>
                  <w:tcW w:w="2176"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647"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bl>
          <w:p w:rsidR="00445849" w:rsidRPr="00445849" w:rsidRDefault="00445849" w:rsidP="00445849">
            <w:pPr>
              <w:spacing w:before="150" w:after="150" w:line="240" w:lineRule="auto"/>
              <w:textAlignment w:val="baseline"/>
              <w:outlineLvl w:val="3"/>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Trường hợp người yêu cầu bồi thường là người thừa kế (nếu có nhiều người thừa kế thì những người thừa kế đó phải cử ra một người đại diện) hoặc là người đại diện của người bị thiệt hại thì ngoài các tài liệu quy định tại các điểm a, b và d khoản 1 Điều 41 Luật TNBTCNN năm 2017</w:t>
            </w:r>
          </w:p>
          <w:tbl>
            <w:tblPr>
              <w:tblW w:w="0" w:type="auto"/>
              <w:tblCellMar>
                <w:left w:w="0" w:type="dxa"/>
                <w:right w:w="0" w:type="dxa"/>
              </w:tblCellMar>
              <w:tblLook w:val="04A0" w:firstRow="1" w:lastRow="0" w:firstColumn="1" w:lastColumn="0" w:noHBand="0" w:noVBand="1"/>
            </w:tblPr>
            <w:tblGrid>
              <w:gridCol w:w="4005"/>
              <w:gridCol w:w="1401"/>
              <w:gridCol w:w="1648"/>
            </w:tblGrid>
            <w:tr w:rsidR="0014599C" w:rsidRPr="00445849" w:rsidTr="00445849">
              <w:trPr>
                <w:tblHeader/>
              </w:trPr>
              <w:tc>
                <w:tcPr>
                  <w:tcW w:w="4758"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lastRenderedPageBreak/>
                    <w:t>Tên giấy tờ</w:t>
                  </w:r>
                </w:p>
              </w:tc>
              <w:tc>
                <w:tcPr>
                  <w:tcW w:w="1559"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t>Mẫu đơn, tờ khai</w:t>
                  </w:r>
                </w:p>
              </w:tc>
              <w:tc>
                <w:tcPr>
                  <w:tcW w:w="1839" w:type="dxa"/>
                  <w:tcBorders>
                    <w:top w:val="single" w:sz="6" w:space="0" w:color="2C92E2"/>
                    <w:left w:val="single" w:sz="6" w:space="0" w:color="2C92E2"/>
                    <w:bottom w:val="single" w:sz="6" w:space="0" w:color="2C92E2"/>
                    <w:right w:val="single" w:sz="6" w:space="0" w:color="2C92E2"/>
                  </w:tcBorders>
                  <w:shd w:val="clear" w:color="auto" w:fill="auto"/>
                  <w:tcMar>
                    <w:top w:w="150" w:type="dxa"/>
                    <w:left w:w="150" w:type="dxa"/>
                    <w:bottom w:w="150" w:type="dxa"/>
                    <w:right w:w="150" w:type="dxa"/>
                  </w:tcMar>
                  <w:hideMark/>
                </w:tcPr>
                <w:p w:rsidR="00445849" w:rsidRPr="00445849" w:rsidRDefault="00445849" w:rsidP="00445849">
                  <w:pPr>
                    <w:rPr>
                      <w:rFonts w:ascii="Times New Roman" w:hAnsi="Times New Roman" w:cs="Times New Roman"/>
                      <w:sz w:val="24"/>
                      <w:szCs w:val="24"/>
                    </w:rPr>
                  </w:pPr>
                  <w:r w:rsidRPr="00445849">
                    <w:rPr>
                      <w:rFonts w:ascii="Times New Roman" w:eastAsia="Times New Roman" w:hAnsi="Times New Roman" w:cs="Times New Roman"/>
                      <w:b/>
                      <w:bCs/>
                      <w:color w:val="FFFFFF"/>
                      <w:sz w:val="24"/>
                      <w:szCs w:val="24"/>
                    </w:rPr>
                    <w:t>S</w:t>
                  </w:r>
                  <w:r w:rsidRPr="00445849">
                    <w:rPr>
                      <w:rFonts w:ascii="Times New Roman" w:hAnsi="Times New Roman" w:cs="Times New Roman"/>
                      <w:sz w:val="24"/>
                      <w:szCs w:val="24"/>
                    </w:rPr>
                    <w:t>Số lượng</w:t>
                  </w:r>
                </w:p>
                <w:p w:rsidR="00445849" w:rsidRPr="00445849" w:rsidRDefault="00445849" w:rsidP="00445849">
                  <w:pPr>
                    <w:spacing w:after="0" w:line="240" w:lineRule="auto"/>
                    <w:rPr>
                      <w:rFonts w:ascii="Times New Roman" w:eastAsia="Times New Roman" w:hAnsi="Times New Roman" w:cs="Times New Roman"/>
                      <w:b/>
                      <w:bCs/>
                      <w:color w:val="FFFFFF"/>
                      <w:sz w:val="24"/>
                      <w:szCs w:val="24"/>
                    </w:rPr>
                  </w:pPr>
                  <w:r w:rsidRPr="00445849">
                    <w:rPr>
                      <w:rFonts w:ascii="Times New Roman" w:eastAsia="Times New Roman" w:hAnsi="Times New Roman" w:cs="Times New Roman"/>
                      <w:b/>
                      <w:bCs/>
                      <w:color w:val="FFFFFF"/>
                      <w:sz w:val="24"/>
                      <w:szCs w:val="24"/>
                    </w:rPr>
                    <w:t>ợ</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Văn bản yêu cầu bồi thường;</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1</w:t>
                  </w:r>
                  <w:r w:rsidRPr="00445849">
                    <w:rPr>
                      <w:rFonts w:ascii="Times New Roman" w:eastAsia="Times New Roman" w:hAnsi="Times New Roman" w:cs="Times New Roman"/>
                      <w:sz w:val="24"/>
                      <w:szCs w:val="24"/>
                    </w:rPr>
                    <w:br/>
                    <w:t>Bản sao: 0</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Văn bản làm căn cứ yêu cầu bồi thường, trừ trường hợp người bị thiệt hại không được gửi hoặc không thể có văn bản làm căn cứ yêu cầu bồi thường;</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Giấy tờ chứng minh nhân thân của người bị thiệt hại;</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Tài liệu, chứng cứ có liên quan đến việc yêu cầu bồi thường (nếu có);</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Giấy tờ chứng minh nhân thân của người thừa kế, người đại diện của người bị thiệt hại;</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Văn bản ủy quyền hợp pháp trong trường hợp đại diện theo ủy quyền;</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r w:rsidR="0014599C" w:rsidRPr="00445849" w:rsidTr="00445849">
              <w:tc>
                <w:tcPr>
                  <w:tcW w:w="4758"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Trường hợp người bị thiệt hại chết mà có di chúc thì người yêu cầu bồi thường phải cung cấp di chúc, trường hợp không có di chúc thì phải có văn bản hợp pháp về quyền thừa kế.</w:t>
                  </w:r>
                </w:p>
              </w:tc>
              <w:tc>
                <w:tcPr>
                  <w:tcW w:w="155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 </w:t>
                  </w:r>
                </w:p>
              </w:tc>
              <w:tc>
                <w:tcPr>
                  <w:tcW w:w="1839"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445849" w:rsidRPr="00445849" w:rsidRDefault="00445849" w:rsidP="00445849">
                  <w:pPr>
                    <w:spacing w:after="0" w:line="240" w:lineRule="auto"/>
                    <w:rPr>
                      <w:rFonts w:ascii="Times New Roman" w:eastAsia="Times New Roman" w:hAnsi="Times New Roman" w:cs="Times New Roman"/>
                      <w:sz w:val="24"/>
                      <w:szCs w:val="24"/>
                    </w:rPr>
                  </w:pPr>
                  <w:r w:rsidRPr="00445849">
                    <w:rPr>
                      <w:rFonts w:ascii="Times New Roman" w:eastAsia="Times New Roman" w:hAnsi="Times New Roman" w:cs="Times New Roman"/>
                      <w:sz w:val="24"/>
                      <w:szCs w:val="24"/>
                    </w:rPr>
                    <w:t>Bản chính: 0</w:t>
                  </w:r>
                  <w:r w:rsidRPr="00445849">
                    <w:rPr>
                      <w:rFonts w:ascii="Times New Roman" w:eastAsia="Times New Roman" w:hAnsi="Times New Roman" w:cs="Times New Roman"/>
                      <w:sz w:val="24"/>
                      <w:szCs w:val="24"/>
                    </w:rPr>
                    <w:br/>
                    <w:t>Bản sao: 1</w:t>
                  </w:r>
                </w:p>
              </w:tc>
            </w:tr>
          </w:tbl>
          <w:p w:rsidR="00445849" w:rsidRPr="00445849" w:rsidRDefault="00445849" w:rsidP="00445849">
            <w:pPr>
              <w:spacing w:after="0" w:line="240" w:lineRule="auto"/>
              <w:rPr>
                <w:rFonts w:ascii="Times New Roman" w:eastAsia="Times New Roman" w:hAnsi="Times New Roman" w:cs="Times New Roman"/>
                <w:sz w:val="28"/>
                <w:szCs w:val="28"/>
              </w:rPr>
            </w:pP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lastRenderedPageBreak/>
              <w:t>Số lượng bộ hồ sơ</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01 bộ</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Yêu cầu - điều kiện</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15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 Có một trong các căn cứ xác định hành vi trái pháp luật của người thi hành công vụ gây thiệt hại và yêu cầu bồi thường tương ứng quy định tại khoản 2 Điều 7 Luật TNBTCNN năm 2017; - Có thiệt hại thực tế của người bị thiệt hại thuộc phạm vi trách nhiệm bồi thường của Nhà nước theo quy định của Luật TNBTCNN năm 2017; - Có mối quan hệ nhân quả giữa thiệt hại thực tế và hành vi gây thiệt hại.</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Căn cứ pháp lý</w:t>
            </w:r>
          </w:p>
        </w:tc>
        <w:tc>
          <w:tcPr>
            <w:tcW w:w="3711" w:type="pct"/>
            <w:shd w:val="clear" w:color="auto" w:fill="auto"/>
            <w:tcMar>
              <w:top w:w="150" w:type="dxa"/>
              <w:left w:w="150" w:type="dxa"/>
              <w:bottom w:w="150" w:type="dxa"/>
              <w:right w:w="150" w:type="dxa"/>
            </w:tcMar>
            <w:hideMark/>
          </w:tcPr>
          <w:p w:rsidR="00445849" w:rsidRPr="00445849" w:rsidRDefault="00445849" w:rsidP="00445849">
            <w:pPr>
              <w:numPr>
                <w:ilvl w:val="0"/>
                <w:numId w:val="4"/>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Luật Trách nhiệm bồi thường của nhà nước</w:t>
            </w:r>
            <w:r w:rsidRPr="00445849">
              <w:rPr>
                <w:rFonts w:ascii="Times New Roman" w:eastAsia="Times New Roman" w:hAnsi="Times New Roman" w:cs="Times New Roman"/>
                <w:b/>
                <w:bCs/>
                <w:sz w:val="28"/>
                <w:szCs w:val="28"/>
                <w:bdr w:val="none" w:sz="0" w:space="0" w:color="auto" w:frame="1"/>
              </w:rPr>
              <w:t xml:space="preserve"> Số: </w:t>
            </w:r>
            <w:r w:rsidRPr="00445849">
              <w:rPr>
                <w:rFonts w:ascii="Times New Roman" w:eastAsia="Times New Roman" w:hAnsi="Times New Roman" w:cs="Times New Roman"/>
                <w:b/>
                <w:bCs/>
                <w:sz w:val="28"/>
                <w:szCs w:val="28"/>
                <w:bdr w:val="none" w:sz="0" w:space="0" w:color="auto" w:frame="1"/>
              </w:rPr>
              <w:lastRenderedPageBreak/>
              <w:t>10/2017/QH14</w:t>
            </w:r>
          </w:p>
          <w:p w:rsidR="00445849" w:rsidRPr="00445849" w:rsidRDefault="00445849" w:rsidP="00445849">
            <w:pPr>
              <w:numPr>
                <w:ilvl w:val="0"/>
                <w:numId w:val="4"/>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Nghị định quy định chi tiết một số điều và biện pháp thi hành Luật Trách nhiệm bồi thường của Nhà nước</w:t>
            </w:r>
            <w:r w:rsidRPr="00445849">
              <w:rPr>
                <w:rFonts w:ascii="Times New Roman" w:eastAsia="Times New Roman" w:hAnsi="Times New Roman" w:cs="Times New Roman"/>
                <w:b/>
                <w:bCs/>
                <w:sz w:val="28"/>
                <w:szCs w:val="28"/>
                <w:bdr w:val="none" w:sz="0" w:space="0" w:color="auto" w:frame="1"/>
              </w:rPr>
              <w:t> Số: 68/2018/NĐ-CP</w:t>
            </w:r>
          </w:p>
          <w:p w:rsidR="00445849" w:rsidRPr="00445849" w:rsidRDefault="00445849" w:rsidP="00445849">
            <w:pPr>
              <w:numPr>
                <w:ilvl w:val="0"/>
                <w:numId w:val="4"/>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Thông tư ban hành một số biểu mẫu trong công tác bồi thường nhà nước</w:t>
            </w:r>
            <w:r w:rsidRPr="00445849">
              <w:rPr>
                <w:rFonts w:ascii="Times New Roman" w:eastAsia="Times New Roman" w:hAnsi="Times New Roman" w:cs="Times New Roman"/>
                <w:b/>
                <w:bCs/>
                <w:sz w:val="28"/>
                <w:szCs w:val="28"/>
                <w:bdr w:val="none" w:sz="0" w:space="0" w:color="auto" w:frame="1"/>
              </w:rPr>
              <w:t> Số: 04/2018/TT-BTP</w:t>
            </w:r>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lastRenderedPageBreak/>
              <w:t>Biểu mẫu đính kèm</w:t>
            </w:r>
          </w:p>
        </w:tc>
        <w:tc>
          <w:tcPr>
            <w:tcW w:w="3711"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 File mẫu:</w:t>
            </w:r>
          </w:p>
          <w:p w:rsidR="00445849" w:rsidRPr="00445849" w:rsidRDefault="00445849" w:rsidP="00445849">
            <w:pPr>
              <w:numPr>
                <w:ilvl w:val="0"/>
                <w:numId w:val="5"/>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bdr w:val="none" w:sz="0" w:space="0" w:color="auto" w:frame="1"/>
              </w:rPr>
              <w:t>Văn bản yêu cầu bồi thường (Mẫu 01/BTNN ban hành kèm theo Thông tư số 04/2018/TT-BTP. </w:t>
            </w:r>
            <w:hyperlink r:id="rId9" w:history="1">
              <w:r w:rsidRPr="00445849">
                <w:rPr>
                  <w:rFonts w:ascii="Times New Roman" w:eastAsia="Times New Roman" w:hAnsi="Times New Roman" w:cs="Times New Roman"/>
                  <w:b/>
                  <w:bCs/>
                  <w:color w:val="065490"/>
                  <w:sz w:val="28"/>
                  <w:szCs w:val="28"/>
                  <w:bdr w:val="none" w:sz="0" w:space="0" w:color="auto" w:frame="1"/>
                  <w:shd w:val="clear" w:color="auto" w:fill="5CB85C"/>
                </w:rPr>
                <w:t> Tải về</w:t>
              </w:r>
            </w:hyperlink>
          </w:p>
        </w:tc>
      </w:tr>
      <w:tr w:rsidR="0014599C" w:rsidRPr="00445849" w:rsidTr="0014599C">
        <w:tc>
          <w:tcPr>
            <w:tcW w:w="1289" w:type="pct"/>
            <w:shd w:val="clear" w:color="auto" w:fill="auto"/>
            <w:tcMar>
              <w:top w:w="150" w:type="dxa"/>
              <w:left w:w="150" w:type="dxa"/>
              <w:bottom w:w="150" w:type="dxa"/>
              <w:right w:w="150" w:type="dxa"/>
            </w:tcMar>
            <w:hideMark/>
          </w:tcPr>
          <w:p w:rsidR="00445849" w:rsidRPr="00445849" w:rsidRDefault="00445849" w:rsidP="00445849">
            <w:pPr>
              <w:spacing w:after="0" w:line="240" w:lineRule="auto"/>
              <w:rPr>
                <w:rFonts w:ascii="Times New Roman" w:eastAsia="Times New Roman" w:hAnsi="Times New Roman" w:cs="Times New Roman"/>
                <w:sz w:val="28"/>
                <w:szCs w:val="28"/>
              </w:rPr>
            </w:pPr>
            <w:r w:rsidRPr="00445849">
              <w:rPr>
                <w:rFonts w:ascii="Times New Roman" w:eastAsia="Times New Roman" w:hAnsi="Times New Roman" w:cs="Times New Roman"/>
                <w:b/>
                <w:bCs/>
                <w:sz w:val="28"/>
                <w:szCs w:val="28"/>
                <w:bdr w:val="none" w:sz="0" w:space="0" w:color="auto" w:frame="1"/>
              </w:rPr>
              <w:t>Kết quả thực hiện</w:t>
            </w:r>
          </w:p>
        </w:tc>
        <w:tc>
          <w:tcPr>
            <w:tcW w:w="3711" w:type="pct"/>
            <w:shd w:val="clear" w:color="auto" w:fill="auto"/>
            <w:tcMar>
              <w:top w:w="150" w:type="dxa"/>
              <w:left w:w="150" w:type="dxa"/>
              <w:bottom w:w="150" w:type="dxa"/>
              <w:right w:w="150" w:type="dxa"/>
            </w:tcMar>
            <w:hideMark/>
          </w:tcPr>
          <w:p w:rsidR="00445849" w:rsidRPr="00445849" w:rsidRDefault="00445849" w:rsidP="00445849">
            <w:pPr>
              <w:numPr>
                <w:ilvl w:val="0"/>
                <w:numId w:val="6"/>
              </w:numPr>
              <w:spacing w:after="0" w:line="240" w:lineRule="auto"/>
              <w:ind w:left="0"/>
              <w:textAlignment w:val="baseline"/>
              <w:rPr>
                <w:rFonts w:ascii="Times New Roman" w:eastAsia="Times New Roman" w:hAnsi="Times New Roman" w:cs="Times New Roman"/>
                <w:sz w:val="28"/>
                <w:szCs w:val="28"/>
              </w:rPr>
            </w:pPr>
            <w:r w:rsidRPr="00445849">
              <w:rPr>
                <w:rFonts w:ascii="Times New Roman" w:eastAsia="Times New Roman" w:hAnsi="Times New Roman" w:cs="Times New Roman"/>
                <w:sz w:val="28"/>
                <w:szCs w:val="28"/>
              </w:rPr>
              <w:t>Quyết định giải quyết bồi thường.</w:t>
            </w:r>
          </w:p>
        </w:tc>
      </w:tr>
    </w:tbl>
    <w:p w:rsidR="00701841" w:rsidRPr="00445849" w:rsidRDefault="00701841">
      <w:pPr>
        <w:rPr>
          <w:rFonts w:ascii="Times New Roman" w:hAnsi="Times New Roman" w:cs="Times New Roman"/>
          <w:sz w:val="28"/>
          <w:szCs w:val="28"/>
        </w:rPr>
      </w:pPr>
    </w:p>
    <w:p w:rsidR="00445849" w:rsidRPr="00445849" w:rsidRDefault="00445849">
      <w:pPr>
        <w:rPr>
          <w:rFonts w:ascii="Times New Roman" w:hAnsi="Times New Roman" w:cs="Times New Roman"/>
          <w:sz w:val="28"/>
          <w:szCs w:val="28"/>
        </w:rPr>
      </w:pPr>
    </w:p>
    <w:p w:rsidR="00445849" w:rsidRPr="00445849" w:rsidRDefault="00445849">
      <w:pPr>
        <w:rPr>
          <w:rFonts w:ascii="Times New Roman" w:hAnsi="Times New Roman" w:cs="Times New Roman"/>
          <w:sz w:val="24"/>
          <w:szCs w:val="24"/>
        </w:rPr>
      </w:pPr>
    </w:p>
    <w:sectPr w:rsidR="00445849" w:rsidRPr="00445849" w:rsidSect="00445849">
      <w:headerReference w:type="even" r:id="rId10"/>
      <w:headerReference w:type="default" r:id="rId11"/>
      <w:footerReference w:type="even" r:id="rId12"/>
      <w:footerReference w:type="default" r:id="rId13"/>
      <w:headerReference w:type="first" r:id="rId14"/>
      <w:footerReference w:type="first" r:id="rId15"/>
      <w:pgSz w:w="12240" w:h="15840"/>
      <w:pgMar w:top="851" w:right="1134" w:bottom="68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6F" w:rsidRDefault="0062296F" w:rsidP="00445849">
      <w:pPr>
        <w:spacing w:after="0" w:line="240" w:lineRule="auto"/>
      </w:pPr>
      <w:r>
        <w:separator/>
      </w:r>
    </w:p>
  </w:endnote>
  <w:endnote w:type="continuationSeparator" w:id="0">
    <w:p w:rsidR="0062296F" w:rsidRDefault="0062296F" w:rsidP="004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4" w:rsidRDefault="001D7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4" w:rsidRDefault="001D78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4" w:rsidRDefault="001D7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6F" w:rsidRDefault="0062296F" w:rsidP="00445849">
      <w:pPr>
        <w:spacing w:after="0" w:line="240" w:lineRule="auto"/>
      </w:pPr>
      <w:r>
        <w:separator/>
      </w:r>
    </w:p>
  </w:footnote>
  <w:footnote w:type="continuationSeparator" w:id="0">
    <w:p w:rsidR="0062296F" w:rsidRDefault="0062296F" w:rsidP="00445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4" w:rsidRDefault="001D7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849" w:rsidRPr="00445849" w:rsidRDefault="00445849" w:rsidP="00445849">
    <w:pPr>
      <w:pStyle w:val="Header"/>
      <w:jc w:val="center"/>
      <w:rPr>
        <w:rFonts w:ascii="Times New Roman" w:hAnsi="Times New Roman" w:cs="Times New Roman"/>
        <w:b/>
        <w:sz w:val="28"/>
        <w:szCs w:val="28"/>
      </w:rPr>
    </w:pPr>
    <w:bookmarkStart w:id="0" w:name="_GoBack"/>
    <w:bookmarkEnd w:id="0"/>
  </w:p>
  <w:p w:rsidR="00445849" w:rsidRPr="00445849" w:rsidRDefault="00445849" w:rsidP="00445849">
    <w:pPr>
      <w:pStyle w:val="Header"/>
      <w:jc w:val="center"/>
      <w:rPr>
        <w:rFonts w:ascii="Times New Roman" w:hAnsi="Times New Roman" w:cs="Times New Roman"/>
        <w:b/>
        <w:sz w:val="28"/>
        <w:szCs w:val="28"/>
      </w:rPr>
    </w:pPr>
    <w:r w:rsidRPr="00445849">
      <w:rPr>
        <w:rFonts w:ascii="Times New Roman" w:hAnsi="Times New Roman" w:cs="Times New Roman"/>
        <w:b/>
        <w:sz w:val="28"/>
        <w:szCs w:val="28"/>
      </w:rPr>
      <w:t>THÔNG TIN CHI TIẾT THỦ TỤC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4" w:rsidRDefault="001D7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57F8E"/>
    <w:multiLevelType w:val="multilevel"/>
    <w:tmpl w:val="9B54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020AF"/>
    <w:multiLevelType w:val="multilevel"/>
    <w:tmpl w:val="213C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290A07"/>
    <w:multiLevelType w:val="multilevel"/>
    <w:tmpl w:val="E394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4C7C39"/>
    <w:multiLevelType w:val="multilevel"/>
    <w:tmpl w:val="D518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753F2"/>
    <w:multiLevelType w:val="multilevel"/>
    <w:tmpl w:val="6FE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072621"/>
    <w:multiLevelType w:val="multilevel"/>
    <w:tmpl w:val="DAE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49"/>
    <w:rsid w:val="0014599C"/>
    <w:rsid w:val="001D78A4"/>
    <w:rsid w:val="00445849"/>
    <w:rsid w:val="0062296F"/>
    <w:rsid w:val="00701841"/>
    <w:rsid w:val="00E4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49"/>
  </w:style>
  <w:style w:type="paragraph" w:styleId="Footer">
    <w:name w:val="footer"/>
    <w:basedOn w:val="Normal"/>
    <w:link w:val="FooterChar"/>
    <w:uiPriority w:val="99"/>
    <w:unhideWhenUsed/>
    <w:rsid w:val="0044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49"/>
  </w:style>
  <w:style w:type="paragraph" w:styleId="Footer">
    <w:name w:val="footer"/>
    <w:basedOn w:val="Normal"/>
    <w:link w:val="FooterChar"/>
    <w:uiPriority w:val="99"/>
    <w:unhideWhenUsed/>
    <w:rsid w:val="0044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chvucong.caobang.gov.vn/public_dir/04/giayto/2018_11/1542313189_44.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B8C5-FC8B-4801-BADF-44200990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Chips Dell 14-5480</cp:lastModifiedBy>
  <cp:revision>3</cp:revision>
  <dcterms:created xsi:type="dcterms:W3CDTF">2023-04-24T03:38:00Z</dcterms:created>
  <dcterms:modified xsi:type="dcterms:W3CDTF">2023-05-30T09:01:00Z</dcterms:modified>
</cp:coreProperties>
</file>