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A65" w:rsidRPr="005B6A65" w:rsidRDefault="005B6A65" w:rsidP="005B6A65">
      <w:pPr>
        <w:shd w:val="clear" w:color="auto" w:fill="FFFFFF"/>
        <w:spacing w:line="240" w:lineRule="auto"/>
        <w:rPr>
          <w:rFonts w:eastAsia="Times New Roman" w:cs="Times New Roman"/>
          <w:b/>
          <w:bCs/>
          <w:caps/>
          <w:color w:val="1A1B1C"/>
          <w:szCs w:val="28"/>
        </w:rPr>
      </w:pPr>
      <w:bookmarkStart w:id="0" w:name="_GoBack"/>
      <w:bookmarkEnd w:id="0"/>
      <w:r w:rsidRPr="005B6A65">
        <w:rPr>
          <w:rFonts w:eastAsia="Times New Roman" w:cs="Times New Roman"/>
          <w:b/>
          <w:bCs/>
          <w:caps/>
          <w:color w:val="1A1B1C"/>
          <w:szCs w:val="28"/>
        </w:rPr>
        <w:t>THÔNG BÁO CHẤM DỨT HOẠT ĐỘNG THƯ VIỆN CỘNG ĐỒNG</w:t>
      </w:r>
    </w:p>
    <w:p w:rsidR="005B6A65" w:rsidRPr="005B6A65" w:rsidRDefault="005B6A65" w:rsidP="005B6A65">
      <w:pPr>
        <w:shd w:val="clear" w:color="auto" w:fill="FFFFFF"/>
        <w:spacing w:after="150" w:line="240" w:lineRule="auto"/>
        <w:rPr>
          <w:rFonts w:eastAsia="Times New Roman" w:cs="Times New Roman"/>
          <w:b/>
          <w:bCs/>
          <w:i/>
          <w:iCs/>
          <w:color w:val="919191"/>
          <w:szCs w:val="28"/>
        </w:rPr>
      </w:pPr>
    </w:p>
    <w:tbl>
      <w:tblPr>
        <w:tblW w:w="9405" w:type="dxa"/>
        <w:tblInd w:w="-252"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412"/>
        <w:gridCol w:w="5993"/>
      </w:tblGrid>
      <w:tr w:rsidR="005B6A65" w:rsidRPr="005B6A65" w:rsidTr="005B6A65">
        <w:trPr>
          <w:trHeight w:val="600"/>
        </w:trPr>
        <w:tc>
          <w:tcPr>
            <w:tcW w:w="3412" w:type="dxa"/>
            <w:tcBorders>
              <w:top w:val="single" w:sz="8" w:space="0" w:color="auto"/>
              <w:left w:val="single" w:sz="8" w:space="0" w:color="auto"/>
              <w:bottom w:val="single" w:sz="8" w:space="0" w:color="auto"/>
              <w:right w:val="single" w:sz="8" w:space="0" w:color="auto"/>
            </w:tcBorders>
            <w:shd w:val="clear" w:color="auto" w:fill="auto"/>
            <w:tcMar>
              <w:top w:w="0" w:type="dxa"/>
              <w:left w:w="81" w:type="dxa"/>
              <w:bottom w:w="0" w:type="dxa"/>
              <w:right w:w="108" w:type="dxa"/>
            </w:tcMar>
            <w:vAlign w:val="cente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b/>
                <w:bCs/>
                <w:szCs w:val="28"/>
              </w:rPr>
              <w:t>Trình tự thực hiện</w:t>
            </w:r>
          </w:p>
        </w:tc>
        <w:tc>
          <w:tcPr>
            <w:tcW w:w="5993" w:type="dxa"/>
            <w:tcBorders>
              <w:top w:val="single" w:sz="8" w:space="0" w:color="auto"/>
              <w:left w:val="nil"/>
              <w:bottom w:val="single" w:sz="8" w:space="0" w:color="auto"/>
              <w:right w:val="single" w:sz="8" w:space="0" w:color="auto"/>
            </w:tcBorders>
            <w:shd w:val="clear" w:color="auto" w:fill="auto"/>
            <w:tcMar>
              <w:top w:w="0" w:type="dxa"/>
              <w:left w:w="81" w:type="dxa"/>
              <w:bottom w:w="0" w:type="dxa"/>
              <w:right w:w="108" w:type="dxa"/>
            </w:tcMa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zCs w:val="28"/>
              </w:rPr>
              <w:t>- Trước 30 ngày tính đến ngày thư viện chấm dứt hoạt động, tổ chức, cá nhân thành lập thư viện gửi thông báo đến Ủy ban nhân dân cấp xã nơi thư viện đặt trụ sở.  </w:t>
            </w:r>
          </w:p>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zCs w:val="28"/>
              </w:rPr>
              <w:t>- Trong thời hạn 15 ngày, kể từ ngày nhận đủ hồ sơ thông báo hợp lệ, </w:t>
            </w:r>
            <w:r w:rsidRPr="005B6A65">
              <w:rPr>
                <w:rFonts w:eastAsia="Times New Roman" w:cs="Times New Roman"/>
                <w:szCs w:val="28"/>
                <w:shd w:val="clear" w:color="auto" w:fill="FFFFFF"/>
              </w:rPr>
              <w:t>Ủy ban nhân dân cấp phường phải trả lời bằng văn bản; trường hợp không đồng ý phải nêu rõ lý do.  </w:t>
            </w:r>
            <w:r w:rsidRPr="005B6A65">
              <w:rPr>
                <w:rFonts w:eastAsia="Times New Roman" w:cs="Times New Roman"/>
                <w:szCs w:val="28"/>
                <w:shd w:val="clear" w:color="auto" w:fill="FFFFFF"/>
                <w:lang w:val="vi-VN"/>
              </w:rPr>
              <w:t>Trong thời hạn 10 ngày, kể từ ngày tiếp nhận thông báo, n</w:t>
            </w:r>
            <w:r w:rsidRPr="005B6A65">
              <w:rPr>
                <w:rFonts w:eastAsia="Times New Roman" w:cs="Times New Roman"/>
                <w:szCs w:val="28"/>
                <w:shd w:val="clear" w:color="auto" w:fill="FFFFFF"/>
                <w:lang w:val="nl-NL"/>
              </w:rPr>
              <w:t>ế</w:t>
            </w:r>
            <w:r w:rsidRPr="005B6A65">
              <w:rPr>
                <w:rFonts w:eastAsia="Times New Roman" w:cs="Times New Roman"/>
                <w:szCs w:val="28"/>
                <w:shd w:val="clear" w:color="auto" w:fill="FFFFFF"/>
                <w:lang w:val="vi-VN"/>
              </w:rPr>
              <w:t>u hồ sơ thông báo không đủ tài liệu</w:t>
            </w:r>
            <w:r w:rsidRPr="005B6A65">
              <w:rPr>
                <w:rFonts w:eastAsia="Times New Roman" w:cs="Times New Roman"/>
                <w:szCs w:val="28"/>
                <w:shd w:val="clear" w:color="auto" w:fill="FFFFFF"/>
                <w:lang w:val="nl-NL"/>
              </w:rPr>
              <w:t> theo</w:t>
            </w:r>
            <w:r w:rsidRPr="005B6A65">
              <w:rPr>
                <w:rFonts w:eastAsia="Times New Roman" w:cs="Times New Roman"/>
                <w:szCs w:val="28"/>
                <w:shd w:val="clear" w:color="auto" w:fill="FFFFFF"/>
                <w:lang w:val="vi-VN"/>
              </w:rPr>
              <w:t> quy định, </w:t>
            </w:r>
            <w:r w:rsidRPr="005B6A65">
              <w:rPr>
                <w:rFonts w:eastAsia="Times New Roman" w:cs="Times New Roman"/>
                <w:szCs w:val="28"/>
                <w:shd w:val="clear" w:color="auto" w:fill="FFFFFF"/>
                <w:lang w:val="nl-NL"/>
              </w:rPr>
              <w:t>Ủy ban nhân dân cấp xã</w:t>
            </w:r>
            <w:r w:rsidRPr="005B6A65">
              <w:rPr>
                <w:rFonts w:eastAsia="Times New Roman" w:cs="Times New Roman"/>
                <w:szCs w:val="28"/>
                <w:shd w:val="clear" w:color="auto" w:fill="FFFFFF"/>
                <w:lang w:val="vi-VN"/>
              </w:rPr>
              <w:t> có trách nhiệm gửi văn bản yêu cầu cơ quan, tổ chức, cá nhân bổ sung hoặc điều chỉnh hồ sơ</w:t>
            </w:r>
            <w:r w:rsidRPr="005B6A65">
              <w:rPr>
                <w:rFonts w:eastAsia="Times New Roman" w:cs="Times New Roman"/>
                <w:szCs w:val="28"/>
                <w:shd w:val="clear" w:color="auto" w:fill="FFFFFF"/>
                <w:lang w:val="nl-NL"/>
              </w:rPr>
              <w:t>.</w:t>
            </w:r>
          </w:p>
        </w:tc>
      </w:tr>
      <w:tr w:rsidR="005B6A65" w:rsidRPr="005B6A65" w:rsidTr="005B6A65">
        <w:trPr>
          <w:trHeight w:val="600"/>
        </w:trPr>
        <w:tc>
          <w:tcPr>
            <w:tcW w:w="3412" w:type="dxa"/>
            <w:tcBorders>
              <w:top w:val="nil"/>
              <w:left w:val="single" w:sz="8" w:space="0" w:color="auto"/>
              <w:bottom w:val="single" w:sz="8" w:space="0" w:color="auto"/>
              <w:right w:val="single" w:sz="8" w:space="0" w:color="auto"/>
            </w:tcBorders>
            <w:shd w:val="clear" w:color="auto" w:fill="auto"/>
            <w:tcMar>
              <w:top w:w="0" w:type="dxa"/>
              <w:left w:w="81" w:type="dxa"/>
              <w:bottom w:w="0" w:type="dxa"/>
              <w:right w:w="108" w:type="dxa"/>
            </w:tcMar>
            <w:vAlign w:val="cente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b/>
                <w:bCs/>
                <w:spacing w:val="-5"/>
                <w:szCs w:val="28"/>
                <w:lang w:val="nb-NO"/>
              </w:rPr>
              <w:t>Cách thức thực hiện</w:t>
            </w:r>
          </w:p>
        </w:tc>
        <w:tc>
          <w:tcPr>
            <w:tcW w:w="5993" w:type="dxa"/>
            <w:tcBorders>
              <w:top w:val="nil"/>
              <w:left w:val="nil"/>
              <w:bottom w:val="single" w:sz="8" w:space="0" w:color="auto"/>
              <w:right w:val="single" w:sz="8" w:space="0" w:color="auto"/>
            </w:tcBorders>
            <w:shd w:val="clear" w:color="auto" w:fill="auto"/>
            <w:tcMar>
              <w:top w:w="0" w:type="dxa"/>
              <w:left w:w="81" w:type="dxa"/>
              <w:bottom w:w="0" w:type="dxa"/>
              <w:right w:w="108" w:type="dxa"/>
            </w:tcMa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zCs w:val="28"/>
              </w:rPr>
              <w:t>Lựa chọn một trong các cách thức:</w:t>
            </w:r>
          </w:p>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zCs w:val="28"/>
              </w:rPr>
              <w:t>- Gửi trực tiếp đến Bộ phận Tiếp nhận và trả kết quả giải quyết TTHC cấp phường</w:t>
            </w:r>
          </w:p>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zCs w:val="28"/>
              </w:rPr>
              <w:t>- Gửi qua hệ thống bưu chính đến Bộ phận Tiếp nhận và trả kết quả giải quyết TTHC cấp phường</w:t>
            </w:r>
          </w:p>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zCs w:val="28"/>
              </w:rPr>
              <w:t>- Thực hiện trên cổng dịch vụ công Thành phố tại địa chỉ website: dichvucong.hanoi.gov.vn</w:t>
            </w:r>
          </w:p>
        </w:tc>
      </w:tr>
      <w:tr w:rsidR="005B6A65" w:rsidRPr="005B6A65" w:rsidTr="005B6A65">
        <w:trPr>
          <w:trHeight w:val="600"/>
        </w:trPr>
        <w:tc>
          <w:tcPr>
            <w:tcW w:w="3412" w:type="dxa"/>
            <w:tcBorders>
              <w:top w:val="nil"/>
              <w:left w:val="single" w:sz="8" w:space="0" w:color="auto"/>
              <w:bottom w:val="single" w:sz="8" w:space="0" w:color="auto"/>
              <w:right w:val="single" w:sz="8" w:space="0" w:color="auto"/>
            </w:tcBorders>
            <w:shd w:val="clear" w:color="auto" w:fill="auto"/>
            <w:tcMar>
              <w:top w:w="0" w:type="dxa"/>
              <w:left w:w="81" w:type="dxa"/>
              <w:bottom w:w="0" w:type="dxa"/>
              <w:right w:w="108" w:type="dxa"/>
            </w:tcMar>
            <w:vAlign w:val="cente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b/>
                <w:bCs/>
                <w:szCs w:val="28"/>
              </w:rPr>
              <w:t>Thành phần hồ sơ</w:t>
            </w:r>
          </w:p>
        </w:tc>
        <w:tc>
          <w:tcPr>
            <w:tcW w:w="5993" w:type="dxa"/>
            <w:tcBorders>
              <w:top w:val="nil"/>
              <w:left w:val="nil"/>
              <w:bottom w:val="single" w:sz="8" w:space="0" w:color="auto"/>
              <w:right w:val="single" w:sz="8" w:space="0" w:color="auto"/>
            </w:tcBorders>
            <w:shd w:val="clear" w:color="auto" w:fill="auto"/>
            <w:tcMar>
              <w:top w:w="0" w:type="dxa"/>
              <w:left w:w="81" w:type="dxa"/>
              <w:bottom w:w="0" w:type="dxa"/>
              <w:right w:w="108" w:type="dxa"/>
            </w:tcMa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pacing w:val="-2"/>
                <w:szCs w:val="28"/>
                <w:lang w:val="pt-BR"/>
              </w:rPr>
              <w:t>(1) Thông báo chấm dứt hoạt động thư viện theo Mẫu M03. Thông báo giải thể/chấm dứt hoạt động thư viện ban hành kèm theo Thông tư số 01/2020/TT-BVHTTDL ngày 22 tháng 5 năm 2020 của Bộ trưởng Bộ Văn hóa, Thể thao và Du lịch.</w:t>
            </w:r>
          </w:p>
        </w:tc>
      </w:tr>
      <w:tr w:rsidR="005B6A65" w:rsidRPr="005B6A65" w:rsidTr="005B6A65">
        <w:trPr>
          <w:trHeight w:val="600"/>
        </w:trPr>
        <w:tc>
          <w:tcPr>
            <w:tcW w:w="3412" w:type="dxa"/>
            <w:tcBorders>
              <w:top w:val="nil"/>
              <w:left w:val="single" w:sz="8" w:space="0" w:color="auto"/>
              <w:bottom w:val="single" w:sz="8" w:space="0" w:color="auto"/>
              <w:right w:val="single" w:sz="8" w:space="0" w:color="auto"/>
            </w:tcBorders>
            <w:shd w:val="clear" w:color="auto" w:fill="auto"/>
            <w:tcMar>
              <w:top w:w="0" w:type="dxa"/>
              <w:left w:w="81" w:type="dxa"/>
              <w:bottom w:w="0" w:type="dxa"/>
              <w:right w:w="108" w:type="dxa"/>
            </w:tcMar>
            <w:vAlign w:val="cente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b/>
                <w:bCs/>
                <w:szCs w:val="28"/>
              </w:rPr>
              <w:t>Số lượng hồ sơ</w:t>
            </w:r>
          </w:p>
        </w:tc>
        <w:tc>
          <w:tcPr>
            <w:tcW w:w="5993" w:type="dxa"/>
            <w:tcBorders>
              <w:top w:val="nil"/>
              <w:left w:val="nil"/>
              <w:bottom w:val="single" w:sz="8" w:space="0" w:color="auto"/>
              <w:right w:val="single" w:sz="8" w:space="0" w:color="auto"/>
            </w:tcBorders>
            <w:shd w:val="clear" w:color="auto" w:fill="auto"/>
            <w:tcMar>
              <w:top w:w="0" w:type="dxa"/>
              <w:left w:w="81" w:type="dxa"/>
              <w:bottom w:w="0" w:type="dxa"/>
              <w:right w:w="108" w:type="dxa"/>
            </w:tcMa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zCs w:val="28"/>
              </w:rPr>
              <w:t>01 (bộ)</w:t>
            </w:r>
          </w:p>
        </w:tc>
      </w:tr>
      <w:tr w:rsidR="005B6A65" w:rsidRPr="005B6A65" w:rsidTr="005B6A65">
        <w:trPr>
          <w:trHeight w:val="600"/>
        </w:trPr>
        <w:tc>
          <w:tcPr>
            <w:tcW w:w="3412" w:type="dxa"/>
            <w:tcBorders>
              <w:top w:val="nil"/>
              <w:left w:val="single" w:sz="8" w:space="0" w:color="auto"/>
              <w:bottom w:val="single" w:sz="8" w:space="0" w:color="auto"/>
              <w:right w:val="single" w:sz="8" w:space="0" w:color="auto"/>
            </w:tcBorders>
            <w:shd w:val="clear" w:color="auto" w:fill="auto"/>
            <w:tcMar>
              <w:top w:w="0" w:type="dxa"/>
              <w:left w:w="81" w:type="dxa"/>
              <w:bottom w:w="0" w:type="dxa"/>
              <w:right w:w="108" w:type="dxa"/>
            </w:tcMar>
            <w:vAlign w:val="cente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b/>
                <w:bCs/>
                <w:szCs w:val="28"/>
              </w:rPr>
              <w:t>Thời hạn giải quyết</w:t>
            </w:r>
          </w:p>
        </w:tc>
        <w:tc>
          <w:tcPr>
            <w:tcW w:w="5993" w:type="dxa"/>
            <w:tcBorders>
              <w:top w:val="nil"/>
              <w:left w:val="nil"/>
              <w:bottom w:val="single" w:sz="8" w:space="0" w:color="auto"/>
              <w:right w:val="single" w:sz="8" w:space="0" w:color="auto"/>
            </w:tcBorders>
            <w:shd w:val="clear" w:color="auto" w:fill="auto"/>
            <w:tcMar>
              <w:top w:w="0" w:type="dxa"/>
              <w:left w:w="81" w:type="dxa"/>
              <w:bottom w:w="0" w:type="dxa"/>
              <w:right w:w="108" w:type="dxa"/>
            </w:tcMa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zCs w:val="28"/>
              </w:rPr>
              <w:t>15 ngày, kể từ ngày nhận đủ hồ sơ thông báo hợp lệ</w:t>
            </w:r>
          </w:p>
        </w:tc>
      </w:tr>
      <w:tr w:rsidR="005B6A65" w:rsidRPr="005B6A65" w:rsidTr="005B6A65">
        <w:trPr>
          <w:trHeight w:val="600"/>
        </w:trPr>
        <w:tc>
          <w:tcPr>
            <w:tcW w:w="3412" w:type="dxa"/>
            <w:tcBorders>
              <w:top w:val="nil"/>
              <w:left w:val="single" w:sz="8" w:space="0" w:color="auto"/>
              <w:bottom w:val="single" w:sz="8" w:space="0" w:color="auto"/>
              <w:right w:val="single" w:sz="8" w:space="0" w:color="auto"/>
            </w:tcBorders>
            <w:shd w:val="clear" w:color="auto" w:fill="auto"/>
            <w:tcMar>
              <w:top w:w="0" w:type="dxa"/>
              <w:left w:w="81" w:type="dxa"/>
              <w:bottom w:w="0" w:type="dxa"/>
              <w:right w:w="108" w:type="dxa"/>
            </w:tcMar>
            <w:vAlign w:val="cente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b/>
                <w:bCs/>
                <w:szCs w:val="28"/>
              </w:rPr>
              <w:t>Đối tượng thực hiện TTHC</w:t>
            </w:r>
          </w:p>
        </w:tc>
        <w:tc>
          <w:tcPr>
            <w:tcW w:w="5993" w:type="dxa"/>
            <w:tcBorders>
              <w:top w:val="nil"/>
              <w:left w:val="nil"/>
              <w:bottom w:val="single" w:sz="8" w:space="0" w:color="auto"/>
              <w:right w:val="single" w:sz="8" w:space="0" w:color="auto"/>
            </w:tcBorders>
            <w:shd w:val="clear" w:color="auto" w:fill="auto"/>
            <w:tcMar>
              <w:top w:w="0" w:type="dxa"/>
              <w:left w:w="81" w:type="dxa"/>
              <w:bottom w:w="0" w:type="dxa"/>
              <w:right w:w="108" w:type="dxa"/>
            </w:tcMa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zCs w:val="28"/>
              </w:rPr>
              <w:t>Tổ chức, cá nhân</w:t>
            </w:r>
          </w:p>
        </w:tc>
      </w:tr>
      <w:tr w:rsidR="005B6A65" w:rsidRPr="005B6A65" w:rsidTr="005B6A65">
        <w:trPr>
          <w:trHeight w:val="600"/>
        </w:trPr>
        <w:tc>
          <w:tcPr>
            <w:tcW w:w="3412" w:type="dxa"/>
            <w:tcBorders>
              <w:top w:val="nil"/>
              <w:left w:val="single" w:sz="8" w:space="0" w:color="auto"/>
              <w:bottom w:val="single" w:sz="8" w:space="0" w:color="auto"/>
              <w:right w:val="single" w:sz="8" w:space="0" w:color="auto"/>
            </w:tcBorders>
            <w:shd w:val="clear" w:color="auto" w:fill="auto"/>
            <w:tcMar>
              <w:top w:w="0" w:type="dxa"/>
              <w:left w:w="81" w:type="dxa"/>
              <w:bottom w:w="0" w:type="dxa"/>
              <w:right w:w="108" w:type="dxa"/>
            </w:tcMar>
            <w:vAlign w:val="cente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b/>
                <w:bCs/>
                <w:szCs w:val="28"/>
              </w:rPr>
              <w:t>Cơ quan thực hiện TTHC</w:t>
            </w:r>
          </w:p>
        </w:tc>
        <w:tc>
          <w:tcPr>
            <w:tcW w:w="5993" w:type="dxa"/>
            <w:tcBorders>
              <w:top w:val="nil"/>
              <w:left w:val="nil"/>
              <w:bottom w:val="single" w:sz="8" w:space="0" w:color="auto"/>
              <w:right w:val="single" w:sz="8" w:space="0" w:color="auto"/>
            </w:tcBorders>
            <w:shd w:val="clear" w:color="auto" w:fill="auto"/>
            <w:tcMar>
              <w:top w:w="0" w:type="dxa"/>
              <w:left w:w="81" w:type="dxa"/>
              <w:bottom w:w="0" w:type="dxa"/>
              <w:right w:w="108" w:type="dxa"/>
            </w:tcMa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zCs w:val="28"/>
              </w:rPr>
              <w:t>Ủy ban nhân dân cấp</w:t>
            </w:r>
            <w:r>
              <w:rPr>
                <w:rFonts w:eastAsia="Times New Roman" w:cs="Times New Roman"/>
                <w:szCs w:val="28"/>
              </w:rPr>
              <w:t xml:space="preserve"> xã </w:t>
            </w:r>
          </w:p>
        </w:tc>
      </w:tr>
      <w:tr w:rsidR="005B6A65" w:rsidRPr="005B6A65" w:rsidTr="005B6A65">
        <w:trPr>
          <w:trHeight w:val="600"/>
        </w:trPr>
        <w:tc>
          <w:tcPr>
            <w:tcW w:w="3412" w:type="dxa"/>
            <w:tcBorders>
              <w:top w:val="nil"/>
              <w:left w:val="single" w:sz="8" w:space="0" w:color="auto"/>
              <w:bottom w:val="single" w:sz="8" w:space="0" w:color="auto"/>
              <w:right w:val="single" w:sz="8" w:space="0" w:color="auto"/>
            </w:tcBorders>
            <w:shd w:val="clear" w:color="auto" w:fill="auto"/>
            <w:tcMar>
              <w:top w:w="0" w:type="dxa"/>
              <w:left w:w="81" w:type="dxa"/>
              <w:bottom w:w="0" w:type="dxa"/>
              <w:right w:w="108" w:type="dxa"/>
            </w:tcMar>
            <w:vAlign w:val="cente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b/>
                <w:bCs/>
                <w:szCs w:val="28"/>
              </w:rPr>
              <w:t>Kết quả thực hiện TTHC</w:t>
            </w:r>
          </w:p>
        </w:tc>
        <w:tc>
          <w:tcPr>
            <w:tcW w:w="5993" w:type="dxa"/>
            <w:tcBorders>
              <w:top w:val="nil"/>
              <w:left w:val="nil"/>
              <w:bottom w:val="single" w:sz="8" w:space="0" w:color="auto"/>
              <w:right w:val="single" w:sz="8" w:space="0" w:color="auto"/>
            </w:tcBorders>
            <w:shd w:val="clear" w:color="auto" w:fill="auto"/>
            <w:tcMar>
              <w:top w:w="0" w:type="dxa"/>
              <w:left w:w="81" w:type="dxa"/>
              <w:bottom w:w="0" w:type="dxa"/>
              <w:right w:w="108" w:type="dxa"/>
            </w:tcMa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zCs w:val="28"/>
              </w:rPr>
              <w:t>Văn bản trả lời</w:t>
            </w:r>
          </w:p>
        </w:tc>
      </w:tr>
      <w:tr w:rsidR="005B6A65" w:rsidRPr="005B6A65" w:rsidTr="005B6A65">
        <w:trPr>
          <w:trHeight w:val="600"/>
        </w:trPr>
        <w:tc>
          <w:tcPr>
            <w:tcW w:w="3412" w:type="dxa"/>
            <w:tcBorders>
              <w:top w:val="nil"/>
              <w:left w:val="single" w:sz="8" w:space="0" w:color="auto"/>
              <w:bottom w:val="single" w:sz="8" w:space="0" w:color="auto"/>
              <w:right w:val="single" w:sz="8" w:space="0" w:color="auto"/>
            </w:tcBorders>
            <w:shd w:val="clear" w:color="auto" w:fill="auto"/>
            <w:tcMar>
              <w:top w:w="0" w:type="dxa"/>
              <w:left w:w="81" w:type="dxa"/>
              <w:bottom w:w="0" w:type="dxa"/>
              <w:right w:w="108" w:type="dxa"/>
            </w:tcMar>
            <w:vAlign w:val="cente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b/>
                <w:bCs/>
                <w:szCs w:val="28"/>
              </w:rPr>
              <w:t>Phí, lệ phí</w:t>
            </w:r>
          </w:p>
        </w:tc>
        <w:tc>
          <w:tcPr>
            <w:tcW w:w="5993" w:type="dxa"/>
            <w:tcBorders>
              <w:top w:val="nil"/>
              <w:left w:val="nil"/>
              <w:bottom w:val="single" w:sz="8" w:space="0" w:color="auto"/>
              <w:right w:val="single" w:sz="8" w:space="0" w:color="auto"/>
            </w:tcBorders>
            <w:shd w:val="clear" w:color="auto" w:fill="auto"/>
            <w:tcMar>
              <w:top w:w="0" w:type="dxa"/>
              <w:left w:w="81" w:type="dxa"/>
              <w:bottom w:w="0" w:type="dxa"/>
              <w:right w:w="108" w:type="dxa"/>
            </w:tcMa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zCs w:val="28"/>
              </w:rPr>
              <w:t>Không quy định</w:t>
            </w:r>
          </w:p>
        </w:tc>
      </w:tr>
      <w:tr w:rsidR="005B6A65" w:rsidRPr="005B6A65" w:rsidTr="005B6A65">
        <w:trPr>
          <w:trHeight w:val="600"/>
        </w:trPr>
        <w:tc>
          <w:tcPr>
            <w:tcW w:w="3412" w:type="dxa"/>
            <w:tcBorders>
              <w:top w:val="nil"/>
              <w:left w:val="single" w:sz="8" w:space="0" w:color="auto"/>
              <w:bottom w:val="single" w:sz="8" w:space="0" w:color="auto"/>
              <w:right w:val="single" w:sz="8" w:space="0" w:color="auto"/>
            </w:tcBorders>
            <w:shd w:val="clear" w:color="auto" w:fill="auto"/>
            <w:tcMar>
              <w:top w:w="0" w:type="dxa"/>
              <w:left w:w="81" w:type="dxa"/>
              <w:bottom w:w="0" w:type="dxa"/>
              <w:right w:w="108" w:type="dxa"/>
            </w:tcMar>
            <w:vAlign w:val="cente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b/>
                <w:bCs/>
                <w:szCs w:val="28"/>
              </w:rPr>
              <w:t>Tên mẫu đơn, mẫu tờ khai</w:t>
            </w:r>
          </w:p>
        </w:tc>
        <w:tc>
          <w:tcPr>
            <w:tcW w:w="5993" w:type="dxa"/>
            <w:tcBorders>
              <w:top w:val="nil"/>
              <w:left w:val="nil"/>
              <w:bottom w:val="single" w:sz="8" w:space="0" w:color="auto"/>
              <w:right w:val="single" w:sz="8" w:space="0" w:color="auto"/>
            </w:tcBorders>
            <w:shd w:val="clear" w:color="auto" w:fill="auto"/>
            <w:tcMar>
              <w:top w:w="0" w:type="dxa"/>
              <w:left w:w="81" w:type="dxa"/>
              <w:bottom w:w="0" w:type="dxa"/>
              <w:right w:w="108" w:type="dxa"/>
            </w:tcMa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pacing w:val="-2"/>
                <w:szCs w:val="28"/>
                <w:lang w:val="pt-BR"/>
              </w:rPr>
              <w:t>(1) </w:t>
            </w:r>
            <w:hyperlink r:id="rId5" w:history="1">
              <w:r w:rsidRPr="005B6A65">
                <w:rPr>
                  <w:rFonts w:eastAsia="Times New Roman" w:cs="Times New Roman"/>
                  <w:color w:val="00AAFF"/>
                  <w:spacing w:val="-2"/>
                  <w:szCs w:val="28"/>
                  <w:u w:val="single"/>
                  <w:lang w:val="pt-BR"/>
                </w:rPr>
                <w:t>Thông báo chấm dứt hoạt động thư viện theo Mẫu M03</w:t>
              </w:r>
            </w:hyperlink>
            <w:r w:rsidRPr="005B6A65">
              <w:rPr>
                <w:rFonts w:eastAsia="Times New Roman" w:cs="Times New Roman"/>
                <w:spacing w:val="-2"/>
                <w:szCs w:val="28"/>
                <w:lang w:val="pt-BR"/>
              </w:rPr>
              <w:t>. Thông báo giải thể/chấm dứt hoạt động thư viện ban hành kèm theo Thông tư số 01/2020/TT-BVHTTDL ngày 22 tháng 5 năm 2020 của Bộ trưởng Bộ Văn hóa, Thể thao và Du lịch</w:t>
            </w:r>
          </w:p>
        </w:tc>
      </w:tr>
      <w:tr w:rsidR="005B6A65" w:rsidRPr="005B6A65" w:rsidTr="005B6A65">
        <w:trPr>
          <w:trHeight w:val="600"/>
        </w:trPr>
        <w:tc>
          <w:tcPr>
            <w:tcW w:w="3412" w:type="dxa"/>
            <w:tcBorders>
              <w:top w:val="nil"/>
              <w:left w:val="single" w:sz="8" w:space="0" w:color="auto"/>
              <w:bottom w:val="single" w:sz="8" w:space="0" w:color="auto"/>
              <w:right w:val="single" w:sz="8" w:space="0" w:color="auto"/>
            </w:tcBorders>
            <w:shd w:val="clear" w:color="auto" w:fill="auto"/>
            <w:tcMar>
              <w:top w:w="0" w:type="dxa"/>
              <w:left w:w="81" w:type="dxa"/>
              <w:bottom w:w="0" w:type="dxa"/>
              <w:right w:w="108" w:type="dxa"/>
            </w:tcMar>
            <w:vAlign w:val="cente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b/>
                <w:bCs/>
                <w:szCs w:val="28"/>
              </w:rPr>
              <w:lastRenderedPageBreak/>
              <w:t>Yêu cầu, điều kiện để thực hiện TTHC</w:t>
            </w:r>
          </w:p>
        </w:tc>
        <w:tc>
          <w:tcPr>
            <w:tcW w:w="5993" w:type="dxa"/>
            <w:tcBorders>
              <w:top w:val="nil"/>
              <w:left w:val="nil"/>
              <w:bottom w:val="single" w:sz="8" w:space="0" w:color="auto"/>
              <w:right w:val="single" w:sz="8" w:space="0" w:color="auto"/>
            </w:tcBorders>
            <w:shd w:val="clear" w:color="auto" w:fill="auto"/>
            <w:tcMar>
              <w:top w:w="0" w:type="dxa"/>
              <w:left w:w="81" w:type="dxa"/>
              <w:bottom w:w="0" w:type="dxa"/>
              <w:right w:w="108" w:type="dxa"/>
            </w:tcMa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zCs w:val="28"/>
              </w:rPr>
              <w:t>Không yêu cầu</w:t>
            </w:r>
          </w:p>
        </w:tc>
      </w:tr>
      <w:tr w:rsidR="005B6A65" w:rsidRPr="005B6A65" w:rsidTr="005B6A65">
        <w:trPr>
          <w:trHeight w:val="600"/>
        </w:trPr>
        <w:tc>
          <w:tcPr>
            <w:tcW w:w="3412" w:type="dxa"/>
            <w:tcBorders>
              <w:top w:val="nil"/>
              <w:left w:val="single" w:sz="8" w:space="0" w:color="auto"/>
              <w:bottom w:val="single" w:sz="8" w:space="0" w:color="auto"/>
              <w:right w:val="single" w:sz="8" w:space="0" w:color="auto"/>
            </w:tcBorders>
            <w:shd w:val="clear" w:color="auto" w:fill="auto"/>
            <w:tcMar>
              <w:top w:w="0" w:type="dxa"/>
              <w:left w:w="81" w:type="dxa"/>
              <w:bottom w:w="0" w:type="dxa"/>
              <w:right w:w="108" w:type="dxa"/>
            </w:tcMar>
            <w:vAlign w:val="cente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b/>
                <w:bCs/>
                <w:szCs w:val="28"/>
              </w:rPr>
              <w:t>Căn cứ pháp lý của TTHC</w:t>
            </w:r>
          </w:p>
        </w:tc>
        <w:tc>
          <w:tcPr>
            <w:tcW w:w="5993" w:type="dxa"/>
            <w:tcBorders>
              <w:top w:val="nil"/>
              <w:left w:val="nil"/>
              <w:bottom w:val="single" w:sz="8" w:space="0" w:color="auto"/>
              <w:right w:val="single" w:sz="8" w:space="0" w:color="auto"/>
            </w:tcBorders>
            <w:shd w:val="clear" w:color="auto" w:fill="auto"/>
            <w:tcMar>
              <w:top w:w="0" w:type="dxa"/>
              <w:left w:w="81" w:type="dxa"/>
              <w:bottom w:w="0" w:type="dxa"/>
              <w:right w:w="108" w:type="dxa"/>
            </w:tcMar>
            <w:hideMark/>
          </w:tcPr>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zCs w:val="28"/>
              </w:rPr>
              <w:t>- Luật Thư viện số 46/2019/QH14 ngày 21 tháng 11 năm 2019.</w:t>
            </w:r>
          </w:p>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zCs w:val="28"/>
              </w:rPr>
              <w:t>- Nghị định 93/2020/NĐ-CP ngày 18 tháng 8 năm 2020 quy định chi tiết một số điều của Luật Thư viện.</w:t>
            </w:r>
          </w:p>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zCs w:val="28"/>
              </w:rP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sidR="005B6A65" w:rsidRPr="005B6A65" w:rsidRDefault="005B6A65" w:rsidP="005B6A65">
            <w:pPr>
              <w:spacing w:after="0" w:line="240" w:lineRule="auto"/>
              <w:jc w:val="both"/>
              <w:rPr>
                <w:rFonts w:eastAsia="Times New Roman" w:cs="Times New Roman"/>
                <w:szCs w:val="28"/>
              </w:rPr>
            </w:pPr>
            <w:r w:rsidRPr="005B6A65">
              <w:rPr>
                <w:rFonts w:eastAsia="Times New Roman" w:cs="Times New Roman"/>
                <w:szCs w:val="28"/>
              </w:rPr>
              <w:t>- Quyết định số 3978/QĐ-BVHTTDL ngày 21/12/2020 của Bộ Văn hóa, Thể thao và Du lịch về việc công bố thủ tục chuẩn hóa năm 2020 thuộc phạm vi chức năng quản lý của Bộ Văn hóa, Thể thao và Du lịch.</w:t>
            </w:r>
          </w:p>
          <w:p w:rsidR="005B6A65" w:rsidRPr="005B6A65" w:rsidRDefault="005B6A65" w:rsidP="005B6A65">
            <w:pPr>
              <w:spacing w:after="0" w:line="240" w:lineRule="auto"/>
              <w:jc w:val="both"/>
              <w:rPr>
                <w:rFonts w:eastAsia="Times New Roman" w:cs="Times New Roman"/>
                <w:szCs w:val="28"/>
              </w:rPr>
            </w:pPr>
          </w:p>
        </w:tc>
      </w:tr>
    </w:tbl>
    <w:p w:rsidR="00B50BA1" w:rsidRPr="005B6A65" w:rsidRDefault="00B50BA1">
      <w:pPr>
        <w:rPr>
          <w:rFonts w:cs="Times New Roman"/>
          <w:szCs w:val="28"/>
        </w:rPr>
      </w:pPr>
    </w:p>
    <w:sectPr w:rsidR="00B50BA1" w:rsidRPr="005B6A65" w:rsidSect="005B6A6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65"/>
    <w:rsid w:val="00361710"/>
    <w:rsid w:val="004F3018"/>
    <w:rsid w:val="005B6A65"/>
    <w:rsid w:val="00B50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7B2AEF-A26E-4640-8F9F-F646E016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927257">
      <w:bodyDiv w:val="1"/>
      <w:marLeft w:val="0"/>
      <w:marRight w:val="0"/>
      <w:marTop w:val="0"/>
      <w:marBottom w:val="0"/>
      <w:divBdr>
        <w:top w:val="none" w:sz="0" w:space="0" w:color="auto"/>
        <w:left w:val="none" w:sz="0" w:space="0" w:color="auto"/>
        <w:bottom w:val="none" w:sz="0" w:space="0" w:color="auto"/>
        <w:right w:val="none" w:sz="0" w:space="0" w:color="auto"/>
      </w:divBdr>
      <w:divsChild>
        <w:div w:id="523053307">
          <w:marLeft w:val="0"/>
          <w:marRight w:val="0"/>
          <w:marTop w:val="0"/>
          <w:marBottom w:val="225"/>
          <w:divBdr>
            <w:top w:val="none" w:sz="0" w:space="0" w:color="auto"/>
            <w:left w:val="none" w:sz="0" w:space="0" w:color="auto"/>
            <w:bottom w:val="none" w:sz="0" w:space="0" w:color="auto"/>
            <w:right w:val="none" w:sz="0" w:space="0" w:color="auto"/>
          </w:divBdr>
        </w:div>
        <w:div w:id="802580445">
          <w:marLeft w:val="0"/>
          <w:marRight w:val="0"/>
          <w:marTop w:val="0"/>
          <w:marBottom w:val="150"/>
          <w:divBdr>
            <w:top w:val="none" w:sz="0" w:space="0" w:color="auto"/>
            <w:left w:val="none" w:sz="0" w:space="0" w:color="auto"/>
            <w:bottom w:val="none" w:sz="0" w:space="0" w:color="auto"/>
            <w:right w:val="none" w:sz="0" w:space="0" w:color="auto"/>
          </w:divBdr>
        </w:div>
        <w:div w:id="482965431">
          <w:marLeft w:val="0"/>
          <w:marRight w:val="0"/>
          <w:marTop w:val="0"/>
          <w:marBottom w:val="0"/>
          <w:divBdr>
            <w:top w:val="none" w:sz="0" w:space="0" w:color="auto"/>
            <w:left w:val="none" w:sz="0" w:space="0" w:color="auto"/>
            <w:bottom w:val="none" w:sz="0" w:space="0" w:color="auto"/>
            <w:right w:val="none" w:sz="0" w:space="0" w:color="auto"/>
          </w:divBdr>
          <w:divsChild>
            <w:div w:id="1903558763">
              <w:marLeft w:val="0"/>
              <w:marRight w:val="150"/>
              <w:marTop w:val="0"/>
              <w:marBottom w:val="0"/>
              <w:divBdr>
                <w:top w:val="none" w:sz="0" w:space="0" w:color="auto"/>
                <w:left w:val="none" w:sz="0" w:space="0" w:color="auto"/>
                <w:bottom w:val="none" w:sz="0" w:space="0" w:color="auto"/>
                <w:right w:val="none" w:sz="0" w:space="0" w:color="auto"/>
              </w:divBdr>
              <w:divsChild>
                <w:div w:id="2441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thanhxuan.hanoi.gov.vn/documents/815068/3439031/TT+6+-+M%E1%BA%ABu+%C4%91%C6%A1n+M03.docx/7e32739f-4c33-4d9f-9bc5-ec895b22ccb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4A754-2527-4AC5-A95F-53732247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admin</cp:lastModifiedBy>
  <cp:revision>2</cp:revision>
  <dcterms:created xsi:type="dcterms:W3CDTF">2021-08-19T03:54:00Z</dcterms:created>
  <dcterms:modified xsi:type="dcterms:W3CDTF">2022-01-19T09:44:00Z</dcterms:modified>
</cp:coreProperties>
</file>