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995" w:rsidRDefault="00C83995" w:rsidP="00604007">
      <w:pPr>
        <w:spacing w:after="160" w:line="259" w:lineRule="auto"/>
        <w:jc w:val="center"/>
        <w:rPr>
          <w:b/>
          <w:bCs/>
          <w:sz w:val="28"/>
          <w:szCs w:val="28"/>
        </w:rPr>
      </w:pPr>
      <w:r>
        <w:rPr>
          <w:b/>
          <w:bCs/>
          <w:sz w:val="28"/>
          <w:szCs w:val="28"/>
        </w:rPr>
        <w:t>DANH MỤC THỦ TỤC HÀNH CHÍNH</w:t>
      </w:r>
    </w:p>
    <w:p w:rsidR="00C83995" w:rsidRDefault="00C83995" w:rsidP="00604007">
      <w:pPr>
        <w:spacing w:after="160" w:line="259" w:lineRule="auto"/>
        <w:jc w:val="center"/>
        <w:rPr>
          <w:b/>
          <w:bCs/>
          <w:sz w:val="28"/>
          <w:szCs w:val="28"/>
        </w:rPr>
      </w:pPr>
      <w:r>
        <w:rPr>
          <w:b/>
          <w:bCs/>
          <w:sz w:val="28"/>
          <w:szCs w:val="28"/>
        </w:rPr>
        <w:t>LĨNH VỰC PHÒNG CHỐNG TỆ N</w:t>
      </w:r>
      <w:bookmarkStart w:id="0" w:name="_GoBack"/>
      <w:bookmarkEnd w:id="0"/>
      <w:r>
        <w:rPr>
          <w:b/>
          <w:bCs/>
          <w:sz w:val="28"/>
          <w:szCs w:val="28"/>
        </w:rPr>
        <w:t>ẠN XÃ HỘI</w:t>
      </w:r>
    </w:p>
    <w:p w:rsidR="00C83995" w:rsidRDefault="00C83995">
      <w:pPr>
        <w:spacing w:after="160" w:line="259" w:lineRule="auto"/>
        <w:rPr>
          <w:b/>
          <w:bCs/>
          <w:sz w:val="28"/>
          <w:szCs w:val="28"/>
        </w:rPr>
      </w:pPr>
    </w:p>
    <w:tbl>
      <w:tblPr>
        <w:tblStyle w:val="TableGrid"/>
        <w:tblW w:w="0" w:type="auto"/>
        <w:tblLook w:val="04A0" w:firstRow="1" w:lastRow="0" w:firstColumn="1" w:lastColumn="0" w:noHBand="0" w:noVBand="1"/>
      </w:tblPr>
      <w:tblGrid>
        <w:gridCol w:w="846"/>
        <w:gridCol w:w="6662"/>
        <w:gridCol w:w="1554"/>
      </w:tblGrid>
      <w:tr w:rsidR="00C83995" w:rsidTr="00C83995">
        <w:tc>
          <w:tcPr>
            <w:tcW w:w="846" w:type="dxa"/>
          </w:tcPr>
          <w:p w:rsidR="00C83995" w:rsidRPr="00C83995" w:rsidRDefault="00C83995" w:rsidP="00C83995">
            <w:pPr>
              <w:spacing w:after="160" w:line="259" w:lineRule="auto"/>
              <w:jc w:val="center"/>
              <w:rPr>
                <w:b/>
                <w:bCs/>
                <w:sz w:val="28"/>
                <w:szCs w:val="28"/>
              </w:rPr>
            </w:pPr>
            <w:r>
              <w:rPr>
                <w:b/>
                <w:bCs/>
                <w:sz w:val="28"/>
                <w:szCs w:val="28"/>
              </w:rPr>
              <w:t>STT</w:t>
            </w:r>
          </w:p>
        </w:tc>
        <w:tc>
          <w:tcPr>
            <w:tcW w:w="6662" w:type="dxa"/>
          </w:tcPr>
          <w:p w:rsidR="00C83995" w:rsidRPr="00C83995" w:rsidRDefault="00C83995" w:rsidP="00C83995">
            <w:pPr>
              <w:spacing w:after="160" w:line="259" w:lineRule="auto"/>
              <w:rPr>
                <w:b/>
                <w:bCs/>
                <w:sz w:val="28"/>
                <w:szCs w:val="28"/>
              </w:rPr>
            </w:pPr>
            <w:r>
              <w:rPr>
                <w:b/>
                <w:bCs/>
                <w:sz w:val="28"/>
                <w:szCs w:val="28"/>
              </w:rPr>
              <w:t>TÊN THỦ TỤC HÀNH CHÍNH</w:t>
            </w:r>
          </w:p>
        </w:tc>
        <w:tc>
          <w:tcPr>
            <w:tcW w:w="1554" w:type="dxa"/>
          </w:tcPr>
          <w:p w:rsidR="00C83995" w:rsidRPr="00C83995" w:rsidRDefault="00C83995" w:rsidP="00C83995">
            <w:pPr>
              <w:spacing w:after="160" w:line="259" w:lineRule="auto"/>
              <w:jc w:val="center"/>
              <w:rPr>
                <w:b/>
                <w:bCs/>
                <w:sz w:val="28"/>
                <w:szCs w:val="28"/>
              </w:rPr>
            </w:pPr>
            <w:r>
              <w:rPr>
                <w:b/>
                <w:bCs/>
                <w:sz w:val="28"/>
                <w:szCs w:val="28"/>
              </w:rPr>
              <w:t>TRANG</w:t>
            </w:r>
          </w:p>
        </w:tc>
      </w:tr>
      <w:tr w:rsidR="00C83995" w:rsidTr="00C83995">
        <w:tc>
          <w:tcPr>
            <w:tcW w:w="846" w:type="dxa"/>
          </w:tcPr>
          <w:p w:rsidR="00C83995" w:rsidRPr="00C83995" w:rsidRDefault="00C83995" w:rsidP="00C83995">
            <w:pPr>
              <w:spacing w:after="160" w:line="259" w:lineRule="auto"/>
              <w:jc w:val="center"/>
              <w:rPr>
                <w:bCs/>
                <w:color w:val="000000" w:themeColor="text1"/>
                <w:sz w:val="28"/>
                <w:szCs w:val="28"/>
              </w:rPr>
            </w:pPr>
            <w:r w:rsidRPr="00C83995">
              <w:rPr>
                <w:bCs/>
                <w:color w:val="000000" w:themeColor="text1"/>
                <w:sz w:val="28"/>
                <w:szCs w:val="28"/>
              </w:rPr>
              <w:t>1</w:t>
            </w:r>
          </w:p>
        </w:tc>
        <w:tc>
          <w:tcPr>
            <w:tcW w:w="6662" w:type="dxa"/>
          </w:tcPr>
          <w:p w:rsidR="00C83995" w:rsidRPr="00C83995" w:rsidRDefault="00C83995" w:rsidP="00C83995">
            <w:pPr>
              <w:rPr>
                <w:color w:val="000000" w:themeColor="text1"/>
                <w:sz w:val="26"/>
                <w:szCs w:val="26"/>
              </w:rPr>
            </w:pPr>
            <w:r w:rsidRPr="00C83995">
              <w:rPr>
                <w:color w:val="000000" w:themeColor="text1"/>
                <w:sz w:val="26"/>
                <w:szCs w:val="26"/>
              </w:rPr>
              <w:t>Quyết định quản lý cai nghiện mai túy tự nguyện tại gia đình</w:t>
            </w:r>
          </w:p>
        </w:tc>
        <w:tc>
          <w:tcPr>
            <w:tcW w:w="1554" w:type="dxa"/>
          </w:tcPr>
          <w:p w:rsidR="00C83995" w:rsidRPr="00C83995" w:rsidRDefault="00C83995" w:rsidP="00C83995">
            <w:pPr>
              <w:spacing w:after="160" w:line="259" w:lineRule="auto"/>
              <w:jc w:val="center"/>
              <w:rPr>
                <w:bCs/>
                <w:color w:val="000000" w:themeColor="text1"/>
                <w:sz w:val="28"/>
                <w:szCs w:val="28"/>
              </w:rPr>
            </w:pPr>
            <w:r w:rsidRPr="00C83995">
              <w:rPr>
                <w:bCs/>
                <w:color w:val="000000" w:themeColor="text1"/>
                <w:sz w:val="28"/>
                <w:szCs w:val="28"/>
              </w:rPr>
              <w:t>2</w:t>
            </w:r>
          </w:p>
        </w:tc>
      </w:tr>
      <w:tr w:rsidR="00C83995" w:rsidTr="00C83995">
        <w:tc>
          <w:tcPr>
            <w:tcW w:w="846" w:type="dxa"/>
          </w:tcPr>
          <w:p w:rsidR="00C83995" w:rsidRPr="00C83995" w:rsidRDefault="00C83995" w:rsidP="00C83995">
            <w:pPr>
              <w:spacing w:after="160" w:line="259" w:lineRule="auto"/>
              <w:jc w:val="center"/>
              <w:rPr>
                <w:bCs/>
                <w:color w:val="000000" w:themeColor="text1"/>
                <w:sz w:val="28"/>
                <w:szCs w:val="28"/>
              </w:rPr>
            </w:pPr>
            <w:r>
              <w:rPr>
                <w:bCs/>
                <w:color w:val="000000" w:themeColor="text1"/>
                <w:sz w:val="28"/>
                <w:szCs w:val="28"/>
              </w:rPr>
              <w:t>2</w:t>
            </w:r>
          </w:p>
        </w:tc>
        <w:tc>
          <w:tcPr>
            <w:tcW w:w="6662" w:type="dxa"/>
          </w:tcPr>
          <w:p w:rsidR="00C83995" w:rsidRPr="00C83995" w:rsidRDefault="00C83995" w:rsidP="00C83995">
            <w:pPr>
              <w:rPr>
                <w:color w:val="000000" w:themeColor="text1"/>
                <w:sz w:val="26"/>
                <w:szCs w:val="26"/>
              </w:rPr>
            </w:pPr>
            <w:r w:rsidRPr="00C83995">
              <w:rPr>
                <w:color w:val="000000" w:themeColor="text1"/>
                <w:sz w:val="26"/>
                <w:szCs w:val="26"/>
              </w:rPr>
              <w:t>Đăng ký cai nghiện ma túy tự nguyện</w:t>
            </w:r>
          </w:p>
        </w:tc>
        <w:tc>
          <w:tcPr>
            <w:tcW w:w="1554" w:type="dxa"/>
          </w:tcPr>
          <w:p w:rsidR="00C83995" w:rsidRPr="00C83995" w:rsidRDefault="00604007" w:rsidP="00C83995">
            <w:pPr>
              <w:spacing w:after="160" w:line="259" w:lineRule="auto"/>
              <w:jc w:val="center"/>
              <w:rPr>
                <w:bCs/>
                <w:color w:val="000000" w:themeColor="text1"/>
                <w:sz w:val="28"/>
                <w:szCs w:val="28"/>
              </w:rPr>
            </w:pPr>
            <w:r>
              <w:rPr>
                <w:bCs/>
                <w:color w:val="000000" w:themeColor="text1"/>
                <w:sz w:val="28"/>
                <w:szCs w:val="28"/>
              </w:rPr>
              <w:t>3</w:t>
            </w:r>
          </w:p>
        </w:tc>
      </w:tr>
    </w:tbl>
    <w:p w:rsidR="00C83995" w:rsidRDefault="00C83995">
      <w:pPr>
        <w:spacing w:after="160" w:line="259" w:lineRule="auto"/>
        <w:rPr>
          <w:b/>
          <w:bCs/>
          <w:sz w:val="28"/>
          <w:szCs w:val="28"/>
          <w:lang w:val="vi-VN"/>
        </w:rPr>
      </w:pPr>
      <w:r>
        <w:rPr>
          <w:b/>
          <w:bCs/>
          <w:sz w:val="28"/>
          <w:szCs w:val="28"/>
          <w:lang w:val="vi-VN"/>
        </w:rPr>
        <w:br w:type="page"/>
      </w:r>
    </w:p>
    <w:p w:rsidR="00C83995" w:rsidRPr="00C83995" w:rsidRDefault="00C83995" w:rsidP="00604007">
      <w:pPr>
        <w:spacing w:before="120" w:after="120"/>
        <w:ind w:firstLine="720"/>
        <w:jc w:val="both"/>
        <w:rPr>
          <w:b/>
          <w:bCs/>
          <w:sz w:val="28"/>
          <w:szCs w:val="28"/>
        </w:rPr>
      </w:pPr>
      <w:r>
        <w:rPr>
          <w:b/>
          <w:bCs/>
          <w:sz w:val="28"/>
          <w:szCs w:val="28"/>
        </w:rPr>
        <w:lastRenderedPageBreak/>
        <w:t xml:space="preserve">1. </w:t>
      </w:r>
      <w:r w:rsidRPr="009D7840">
        <w:rPr>
          <w:b/>
          <w:bCs/>
          <w:sz w:val="28"/>
          <w:szCs w:val="28"/>
          <w:lang w:val="vi-VN"/>
        </w:rPr>
        <w:t xml:space="preserve">Thủ tục Quyết định quản lý cai nghiện ma túy tự nguyện </w:t>
      </w:r>
      <w:r>
        <w:rPr>
          <w:b/>
          <w:bCs/>
          <w:sz w:val="28"/>
          <w:szCs w:val="28"/>
        </w:rPr>
        <w:t>tại gia đình</w:t>
      </w:r>
    </w:p>
    <w:p w:rsidR="00C83995" w:rsidRPr="009D7840" w:rsidRDefault="00C83995" w:rsidP="00604007">
      <w:pPr>
        <w:spacing w:before="120" w:after="120"/>
        <w:ind w:firstLine="720"/>
        <w:jc w:val="both"/>
        <w:rPr>
          <w:b/>
          <w:bCs/>
          <w:sz w:val="28"/>
          <w:szCs w:val="28"/>
        </w:rPr>
      </w:pPr>
      <w:bookmarkStart w:id="1" w:name="bookmark60"/>
      <w:r w:rsidRPr="009D7840">
        <w:rPr>
          <w:b/>
          <w:bCs/>
          <w:sz w:val="28"/>
          <w:szCs w:val="28"/>
        </w:rPr>
        <w:t xml:space="preserve">a) </w:t>
      </w:r>
      <w:bookmarkEnd w:id="1"/>
      <w:r w:rsidRPr="009D7840">
        <w:rPr>
          <w:b/>
          <w:bCs/>
          <w:sz w:val="28"/>
          <w:szCs w:val="28"/>
          <w:lang w:val="vi-VN"/>
        </w:rPr>
        <w:t>Trình tự thực hiện:</w:t>
      </w:r>
    </w:p>
    <w:p w:rsidR="00C83995" w:rsidRPr="009D7840" w:rsidRDefault="00C83995" w:rsidP="00604007">
      <w:pPr>
        <w:spacing w:before="120" w:after="120"/>
        <w:ind w:firstLine="720"/>
        <w:jc w:val="both"/>
        <w:rPr>
          <w:sz w:val="28"/>
          <w:szCs w:val="28"/>
          <w:lang w:val="vi-VN"/>
        </w:rPr>
      </w:pPr>
      <w:r w:rsidRPr="009D7840">
        <w:rPr>
          <w:sz w:val="28"/>
          <w:szCs w:val="28"/>
        </w:rPr>
        <w:t xml:space="preserve">- </w:t>
      </w:r>
      <w:r w:rsidRPr="009D7840">
        <w:rPr>
          <w:b/>
          <w:bCs/>
          <w:sz w:val="28"/>
          <w:szCs w:val="28"/>
          <w:lang w:val="vi-VN"/>
        </w:rPr>
        <w:t>Bước 1:</w:t>
      </w:r>
      <w:r w:rsidRPr="009D7840">
        <w:rPr>
          <w:sz w:val="28"/>
          <w:szCs w:val="28"/>
          <w:lang w:val="vi-VN"/>
        </w:rPr>
        <w:t xml:space="preserve"> Người nghiện ma túy hoặc gia đình, người giám hộ của người nghiện ma túy chưa thành niên có trách nhiệm đăng ký tự nguyện cai nghiện tại gia đình với Ủy ban nhân dân cấp xã nơi cư trú. Tổ công tác giúp Chủ tịch Ủy ban nhân dân cấp xã tiếp nhận hồ sơ đăng ký tự nguyện cai nghiện tại gia đình.</w:t>
      </w:r>
    </w:p>
    <w:p w:rsidR="00C83995" w:rsidRPr="009D7840" w:rsidRDefault="00C83995" w:rsidP="00604007">
      <w:pPr>
        <w:spacing w:before="120" w:after="120"/>
        <w:ind w:firstLine="720"/>
        <w:jc w:val="both"/>
        <w:rPr>
          <w:sz w:val="28"/>
          <w:szCs w:val="28"/>
          <w:lang w:val="vi-VN"/>
        </w:rPr>
      </w:pPr>
      <w:r w:rsidRPr="009D7840">
        <w:rPr>
          <w:b/>
          <w:bCs/>
          <w:sz w:val="28"/>
          <w:szCs w:val="28"/>
          <w:lang w:val="vi-VN"/>
        </w:rPr>
        <w:t>- Bước 2</w:t>
      </w:r>
      <w:r w:rsidRPr="009D7840">
        <w:rPr>
          <w:b/>
          <w:bCs/>
          <w:i/>
          <w:iCs/>
          <w:sz w:val="28"/>
          <w:szCs w:val="28"/>
          <w:lang w:val="vi-VN"/>
        </w:rPr>
        <w:t>:</w:t>
      </w:r>
      <w:r w:rsidRPr="009D7840">
        <w:rPr>
          <w:sz w:val="28"/>
          <w:szCs w:val="28"/>
          <w:lang w:val="vi-VN"/>
        </w:rPr>
        <w:t xml:space="preserve"> Trong thời hạn 03 (ba) ngày làm việc, kể từ ngày nhận được hồ sơ đăng ký tự nguyện cai nghiện tại gia đình, Tổ công tác có trách nhiệm thẩm tra hồ sơ và làm văn bản trình Chủ tịch Ủy ban nhân dân cấp xã quyết định quản lý cai nghiện tự nguyện tại gia đình.</w:t>
      </w:r>
    </w:p>
    <w:p w:rsidR="00C83995" w:rsidRPr="009D7840" w:rsidRDefault="00C83995" w:rsidP="00604007">
      <w:pPr>
        <w:spacing w:before="120" w:after="120"/>
        <w:ind w:firstLine="720"/>
        <w:jc w:val="both"/>
        <w:rPr>
          <w:sz w:val="28"/>
          <w:szCs w:val="28"/>
          <w:lang w:val="vi-VN"/>
        </w:rPr>
      </w:pPr>
      <w:bookmarkStart w:id="2" w:name="bookmark61"/>
      <w:r w:rsidRPr="009D7840">
        <w:rPr>
          <w:b/>
          <w:bCs/>
          <w:sz w:val="28"/>
          <w:szCs w:val="28"/>
          <w:lang w:val="vi-VN"/>
        </w:rPr>
        <w:t xml:space="preserve">b) </w:t>
      </w:r>
      <w:bookmarkEnd w:id="2"/>
      <w:r w:rsidRPr="009D7840">
        <w:rPr>
          <w:b/>
          <w:bCs/>
          <w:sz w:val="28"/>
          <w:szCs w:val="28"/>
          <w:lang w:val="vi-VN"/>
        </w:rPr>
        <w:t>Cách thức thực hiện:</w:t>
      </w:r>
      <w:r w:rsidRPr="009D7840">
        <w:rPr>
          <w:sz w:val="28"/>
          <w:szCs w:val="28"/>
          <w:lang w:val="vi-VN"/>
        </w:rPr>
        <w:t xml:space="preserve">  Nộp hồ sơ trực tiếp tại Ủy ban nhân dân cấp xã.</w:t>
      </w:r>
    </w:p>
    <w:p w:rsidR="00C83995" w:rsidRPr="009D7840" w:rsidRDefault="00C83995" w:rsidP="00604007">
      <w:pPr>
        <w:spacing w:before="120" w:after="120"/>
        <w:ind w:firstLine="720"/>
        <w:jc w:val="both"/>
        <w:rPr>
          <w:b/>
          <w:bCs/>
          <w:sz w:val="28"/>
          <w:szCs w:val="28"/>
          <w:lang w:val="vi-VN"/>
        </w:rPr>
      </w:pPr>
      <w:bookmarkStart w:id="3" w:name="bookmark62"/>
      <w:r w:rsidRPr="009D7840">
        <w:rPr>
          <w:b/>
          <w:bCs/>
          <w:sz w:val="28"/>
          <w:szCs w:val="28"/>
          <w:lang w:val="vi-VN"/>
        </w:rPr>
        <w:t xml:space="preserve">c) </w:t>
      </w:r>
      <w:bookmarkEnd w:id="3"/>
      <w:r w:rsidRPr="009D7840">
        <w:rPr>
          <w:b/>
          <w:bCs/>
          <w:sz w:val="28"/>
          <w:szCs w:val="28"/>
          <w:lang w:val="vi-VN"/>
        </w:rPr>
        <w:t>Thành phần, số lượng hồ sơ:</w:t>
      </w:r>
    </w:p>
    <w:p w:rsidR="00C83995" w:rsidRPr="009D7840" w:rsidRDefault="00C83995" w:rsidP="00604007">
      <w:pPr>
        <w:spacing w:before="120" w:after="120"/>
        <w:ind w:firstLine="720"/>
        <w:jc w:val="both"/>
        <w:rPr>
          <w:i/>
          <w:iCs/>
          <w:sz w:val="28"/>
          <w:szCs w:val="28"/>
          <w:lang w:val="vi-VN"/>
        </w:rPr>
      </w:pPr>
      <w:r w:rsidRPr="009D7840">
        <w:rPr>
          <w:i/>
          <w:iCs/>
          <w:sz w:val="28"/>
          <w:szCs w:val="28"/>
          <w:lang w:val="vi-VN"/>
        </w:rPr>
        <w:t>* Thành phần hồ sơ gồm:</w:t>
      </w:r>
    </w:p>
    <w:p w:rsidR="00C83995" w:rsidRPr="009D7840" w:rsidRDefault="00C83995" w:rsidP="00604007">
      <w:pPr>
        <w:spacing w:before="120" w:after="120"/>
        <w:ind w:firstLine="720"/>
        <w:jc w:val="both"/>
        <w:rPr>
          <w:sz w:val="28"/>
          <w:szCs w:val="28"/>
          <w:lang w:val="vi-VN"/>
        </w:rPr>
      </w:pPr>
      <w:r w:rsidRPr="009D7840">
        <w:rPr>
          <w:sz w:val="28"/>
          <w:szCs w:val="28"/>
          <w:lang w:val="vi-VN"/>
        </w:rPr>
        <w:t>- Đơn đăng ký tự nguyện cai nghiện tại gia đình của bản thân hoặc gia đình, người giám hộ của người nghiện ma túy. Nội dung đơn phải bao gồm các nội dung: tình trạng nghiện ma túy; các hình thức cai nghiện ma túy đã tham gia; tình trạng sức khỏe; cam kết tự nguyện cai nghiện ma túy tại gia đình.</w:t>
      </w:r>
    </w:p>
    <w:p w:rsidR="00C83995" w:rsidRPr="009D7840" w:rsidRDefault="00C83995" w:rsidP="00604007">
      <w:pPr>
        <w:spacing w:before="120" w:after="120"/>
        <w:ind w:firstLine="720"/>
        <w:jc w:val="both"/>
        <w:rPr>
          <w:sz w:val="28"/>
          <w:szCs w:val="28"/>
          <w:lang w:val="vi-VN"/>
        </w:rPr>
      </w:pPr>
      <w:r w:rsidRPr="009D7840">
        <w:rPr>
          <w:sz w:val="28"/>
          <w:szCs w:val="28"/>
          <w:lang w:val="vi-VN"/>
        </w:rPr>
        <w:t>- Bản sơ yếu lý lịch của người nghiện ma túy.</w:t>
      </w:r>
    </w:p>
    <w:p w:rsidR="00C83995" w:rsidRPr="009D7840" w:rsidRDefault="00C83995" w:rsidP="00604007">
      <w:pPr>
        <w:spacing w:before="120" w:after="120"/>
        <w:ind w:firstLine="720"/>
        <w:jc w:val="both"/>
        <w:rPr>
          <w:sz w:val="28"/>
          <w:szCs w:val="28"/>
          <w:lang w:val="vi-VN"/>
        </w:rPr>
      </w:pPr>
      <w:r w:rsidRPr="009D7840">
        <w:rPr>
          <w:sz w:val="28"/>
          <w:szCs w:val="28"/>
          <w:lang w:val="vi-VN"/>
        </w:rPr>
        <w:t>- Kế hoạch cai nghiện cá nhân của người nghiện ma túy.</w:t>
      </w:r>
    </w:p>
    <w:p w:rsidR="00C83995" w:rsidRPr="009D7840" w:rsidRDefault="00C83995" w:rsidP="00604007">
      <w:pPr>
        <w:spacing w:before="120" w:after="120"/>
        <w:ind w:firstLine="720"/>
        <w:jc w:val="both"/>
        <w:rPr>
          <w:sz w:val="28"/>
          <w:szCs w:val="28"/>
          <w:lang w:val="vi-VN"/>
        </w:rPr>
      </w:pPr>
      <w:r w:rsidRPr="009D7840">
        <w:rPr>
          <w:i/>
          <w:iCs/>
          <w:sz w:val="28"/>
          <w:szCs w:val="28"/>
          <w:lang w:val="vi-VN"/>
        </w:rPr>
        <w:t>* Số lượng hồ sơ:</w:t>
      </w:r>
      <w:r w:rsidRPr="009D7840">
        <w:rPr>
          <w:sz w:val="28"/>
          <w:szCs w:val="28"/>
          <w:lang w:val="vi-VN"/>
        </w:rPr>
        <w:t xml:space="preserve"> 01 (một) bộ.</w:t>
      </w:r>
    </w:p>
    <w:p w:rsidR="00C83995" w:rsidRPr="009D7840" w:rsidRDefault="00C83995" w:rsidP="00604007">
      <w:pPr>
        <w:spacing w:before="120" w:after="120"/>
        <w:ind w:firstLine="720"/>
        <w:jc w:val="both"/>
        <w:rPr>
          <w:sz w:val="28"/>
          <w:szCs w:val="28"/>
          <w:lang w:val="vi-VN"/>
        </w:rPr>
      </w:pPr>
      <w:r w:rsidRPr="009D7840">
        <w:rPr>
          <w:b/>
          <w:bCs/>
          <w:sz w:val="28"/>
          <w:szCs w:val="28"/>
          <w:lang w:val="vi-VN"/>
        </w:rPr>
        <w:t>d) Thời gian giải quyết:</w:t>
      </w:r>
      <w:r w:rsidRPr="009D7840">
        <w:rPr>
          <w:sz w:val="28"/>
          <w:szCs w:val="28"/>
          <w:lang w:val="vi-VN"/>
        </w:rPr>
        <w:t xml:space="preserve"> trong thời hạn 03 ngày làm việc.</w:t>
      </w:r>
    </w:p>
    <w:p w:rsidR="00C83995" w:rsidRPr="00993492" w:rsidRDefault="00C83995" w:rsidP="00604007">
      <w:pPr>
        <w:spacing w:before="120" w:after="120"/>
        <w:ind w:firstLine="720"/>
        <w:jc w:val="both"/>
        <w:rPr>
          <w:b/>
          <w:bCs/>
          <w:sz w:val="28"/>
          <w:szCs w:val="28"/>
        </w:rPr>
      </w:pPr>
      <w:r w:rsidRPr="009D7840">
        <w:rPr>
          <w:b/>
          <w:bCs/>
          <w:sz w:val="28"/>
          <w:szCs w:val="28"/>
          <w:lang w:val="vi-VN"/>
        </w:rPr>
        <w:t>đ) Đối tượng thực hiện thủ tục hành chính:</w:t>
      </w:r>
      <w:r w:rsidR="00993492">
        <w:rPr>
          <w:b/>
          <w:bCs/>
          <w:sz w:val="28"/>
          <w:szCs w:val="28"/>
        </w:rPr>
        <w:t xml:space="preserve"> </w:t>
      </w:r>
      <w:r w:rsidR="00993492" w:rsidRPr="00993492">
        <w:rPr>
          <w:bCs/>
          <w:sz w:val="28"/>
          <w:szCs w:val="28"/>
        </w:rPr>
        <w:t>Tổ chức</w:t>
      </w:r>
    </w:p>
    <w:p w:rsidR="00C83995" w:rsidRPr="009D7840" w:rsidRDefault="00C83995" w:rsidP="00604007">
      <w:pPr>
        <w:spacing w:before="120" w:after="120"/>
        <w:ind w:firstLine="720"/>
        <w:jc w:val="both"/>
        <w:rPr>
          <w:sz w:val="28"/>
          <w:szCs w:val="28"/>
          <w:lang w:val="vi-VN"/>
        </w:rPr>
      </w:pPr>
      <w:bookmarkStart w:id="4" w:name="bookmark63"/>
      <w:r w:rsidRPr="009D7840">
        <w:rPr>
          <w:b/>
          <w:bCs/>
          <w:sz w:val="28"/>
          <w:szCs w:val="28"/>
          <w:lang w:val="vi-VN"/>
        </w:rPr>
        <w:t xml:space="preserve">e) </w:t>
      </w:r>
      <w:bookmarkEnd w:id="4"/>
      <w:r w:rsidRPr="009D7840">
        <w:rPr>
          <w:b/>
          <w:bCs/>
          <w:sz w:val="28"/>
          <w:szCs w:val="28"/>
          <w:lang w:val="vi-VN"/>
        </w:rPr>
        <w:t>Cơ quan thực hiện thủ tục hành chính:</w:t>
      </w:r>
      <w:r w:rsidRPr="009D7840">
        <w:rPr>
          <w:sz w:val="28"/>
          <w:szCs w:val="28"/>
          <w:lang w:val="vi-VN"/>
        </w:rPr>
        <w:t xml:space="preserve"> Ủy ban nhân dân cấp xã</w:t>
      </w:r>
    </w:p>
    <w:p w:rsidR="00C83995" w:rsidRPr="009D7840" w:rsidRDefault="00C83995" w:rsidP="00604007">
      <w:pPr>
        <w:spacing w:before="120" w:after="120"/>
        <w:ind w:firstLine="720"/>
        <w:jc w:val="both"/>
        <w:rPr>
          <w:sz w:val="28"/>
          <w:szCs w:val="28"/>
          <w:lang w:val="vi-VN"/>
        </w:rPr>
      </w:pPr>
      <w:r w:rsidRPr="009D7840">
        <w:rPr>
          <w:b/>
          <w:bCs/>
          <w:sz w:val="28"/>
          <w:szCs w:val="28"/>
          <w:lang w:val="vi-VN"/>
        </w:rPr>
        <w:t>g) Kết quả thực hiện thủ tục hành chính:</w:t>
      </w:r>
      <w:r w:rsidRPr="009D7840">
        <w:rPr>
          <w:sz w:val="28"/>
          <w:szCs w:val="28"/>
          <w:lang w:val="vi-VN"/>
        </w:rPr>
        <w:t xml:space="preserve"> Quyết định quản lý cai nghiện tự nguyện tại gia đình.</w:t>
      </w:r>
    </w:p>
    <w:p w:rsidR="00C83995" w:rsidRPr="009D7840" w:rsidRDefault="00C83995" w:rsidP="00604007">
      <w:pPr>
        <w:spacing w:before="120" w:after="120"/>
        <w:ind w:firstLine="720"/>
        <w:jc w:val="both"/>
        <w:rPr>
          <w:sz w:val="28"/>
          <w:szCs w:val="28"/>
          <w:lang w:val="vi-VN"/>
        </w:rPr>
      </w:pPr>
      <w:r w:rsidRPr="009D7840">
        <w:rPr>
          <w:b/>
          <w:bCs/>
          <w:sz w:val="28"/>
          <w:szCs w:val="28"/>
          <w:lang w:val="vi-VN"/>
        </w:rPr>
        <w:t>h) Phí, lệ phí:</w:t>
      </w:r>
      <w:r w:rsidRPr="009D7840">
        <w:rPr>
          <w:sz w:val="28"/>
          <w:szCs w:val="28"/>
          <w:lang w:val="vi-VN"/>
        </w:rPr>
        <w:t xml:space="preserve"> Không có </w:t>
      </w:r>
    </w:p>
    <w:p w:rsidR="00C83995" w:rsidRPr="009D7840" w:rsidRDefault="00C83995" w:rsidP="00604007">
      <w:pPr>
        <w:spacing w:before="120" w:after="120"/>
        <w:ind w:firstLine="720"/>
        <w:jc w:val="both"/>
        <w:rPr>
          <w:sz w:val="28"/>
          <w:szCs w:val="28"/>
          <w:lang w:val="vi-VN"/>
        </w:rPr>
      </w:pPr>
      <w:r w:rsidRPr="009D7840">
        <w:rPr>
          <w:b/>
          <w:bCs/>
          <w:sz w:val="28"/>
          <w:szCs w:val="28"/>
          <w:lang w:val="vi-VN"/>
        </w:rPr>
        <w:t>i) Tên mẫu đơn, mẫu tờ khai:</w:t>
      </w:r>
      <w:r w:rsidRPr="009D7840">
        <w:rPr>
          <w:sz w:val="28"/>
          <w:szCs w:val="28"/>
          <w:lang w:val="vi-VN"/>
        </w:rPr>
        <w:t xml:space="preserve"> Không có </w:t>
      </w:r>
    </w:p>
    <w:p w:rsidR="00C83995" w:rsidRPr="009D7840" w:rsidRDefault="00C83995" w:rsidP="00604007">
      <w:pPr>
        <w:spacing w:before="120" w:after="120"/>
        <w:ind w:firstLine="720"/>
        <w:jc w:val="both"/>
        <w:rPr>
          <w:sz w:val="28"/>
          <w:szCs w:val="28"/>
          <w:lang w:val="vi-VN"/>
        </w:rPr>
      </w:pPr>
      <w:r w:rsidRPr="009D7840">
        <w:rPr>
          <w:b/>
          <w:bCs/>
          <w:sz w:val="28"/>
          <w:szCs w:val="28"/>
          <w:lang w:val="vi-VN"/>
        </w:rPr>
        <w:t>k) Yêu cầu, điều kiện thực hiện thủ tục hành chính:</w:t>
      </w:r>
      <w:r w:rsidRPr="009D7840">
        <w:rPr>
          <w:sz w:val="28"/>
          <w:szCs w:val="28"/>
          <w:lang w:val="vi-VN"/>
        </w:rPr>
        <w:t xml:space="preserve"> Người nghiện ma túy đang cư trú tại cộng đồng tự giác khai báo và tự nguyện đăng ký cai nghiện tại gia đình.</w:t>
      </w:r>
    </w:p>
    <w:p w:rsidR="00C83995" w:rsidRPr="009D7840" w:rsidRDefault="00C83995" w:rsidP="00604007">
      <w:pPr>
        <w:spacing w:before="120" w:after="120"/>
        <w:ind w:firstLine="720"/>
        <w:jc w:val="both"/>
        <w:rPr>
          <w:b/>
          <w:bCs/>
          <w:sz w:val="28"/>
          <w:szCs w:val="28"/>
          <w:lang w:val="vi-VN"/>
        </w:rPr>
      </w:pPr>
      <w:r w:rsidRPr="009D7840">
        <w:rPr>
          <w:b/>
          <w:bCs/>
          <w:sz w:val="28"/>
          <w:szCs w:val="28"/>
          <w:lang w:val="vi-VN"/>
        </w:rPr>
        <w:t xml:space="preserve">l) Căn cứ pháp lý của thủ tục hành chính: </w:t>
      </w:r>
    </w:p>
    <w:p w:rsidR="00C83995" w:rsidRDefault="00604007" w:rsidP="00604007">
      <w:pPr>
        <w:spacing w:before="120" w:after="120"/>
        <w:ind w:firstLine="720"/>
      </w:pPr>
      <w:r w:rsidRPr="00604007">
        <w:rPr>
          <w:sz w:val="28"/>
          <w:szCs w:val="28"/>
          <w:lang w:val="vi-VN"/>
        </w:rPr>
        <w:t>NGHỊ ĐỊNH Quy định về tổ chức cai nghiện ma túy tại gia đình, cai nghiện ma túy tại cộng đồng Số: 94/2010/NĐ-CP</w:t>
      </w:r>
      <w:r w:rsidR="00C83995">
        <w:br w:type="page"/>
      </w:r>
    </w:p>
    <w:p w:rsidR="00C83995" w:rsidRPr="00993492" w:rsidRDefault="00C83995" w:rsidP="00604007">
      <w:pPr>
        <w:spacing w:before="120" w:after="120"/>
        <w:ind w:firstLine="720"/>
        <w:jc w:val="both"/>
        <w:rPr>
          <w:b/>
          <w:bCs/>
          <w:sz w:val="28"/>
          <w:szCs w:val="28"/>
        </w:rPr>
      </w:pPr>
      <w:r w:rsidRPr="00993492">
        <w:rPr>
          <w:b/>
          <w:bCs/>
          <w:sz w:val="28"/>
          <w:szCs w:val="28"/>
        </w:rPr>
        <w:lastRenderedPageBreak/>
        <w:t>2</w:t>
      </w:r>
      <w:r w:rsidRPr="00993492">
        <w:rPr>
          <w:b/>
          <w:bCs/>
          <w:sz w:val="28"/>
          <w:szCs w:val="28"/>
        </w:rPr>
        <w:t xml:space="preserve">. </w:t>
      </w:r>
      <w:r w:rsidRPr="00993492">
        <w:rPr>
          <w:b/>
          <w:bCs/>
          <w:sz w:val="28"/>
          <w:szCs w:val="28"/>
        </w:rPr>
        <w:t>Thủ tục Đăng ký cai nghiện ma túy tự nguyện</w:t>
      </w:r>
    </w:p>
    <w:p w:rsidR="00C83995" w:rsidRPr="00993492" w:rsidRDefault="00C83995" w:rsidP="00604007">
      <w:pPr>
        <w:spacing w:before="120" w:after="120"/>
        <w:ind w:firstLine="720"/>
        <w:jc w:val="both"/>
        <w:rPr>
          <w:b/>
          <w:bCs/>
          <w:sz w:val="28"/>
          <w:szCs w:val="28"/>
          <w:lang w:val="vi-VN"/>
        </w:rPr>
      </w:pPr>
      <w:r w:rsidRPr="00993492">
        <w:rPr>
          <w:b/>
          <w:bCs/>
          <w:sz w:val="28"/>
          <w:szCs w:val="28"/>
        </w:rPr>
        <w:t xml:space="preserve">a) </w:t>
      </w:r>
      <w:r w:rsidRPr="00993492">
        <w:rPr>
          <w:b/>
          <w:bCs/>
          <w:sz w:val="28"/>
          <w:szCs w:val="28"/>
          <w:lang w:val="vi-VN"/>
        </w:rPr>
        <w:t>Trình tự thực hiện:</w:t>
      </w:r>
    </w:p>
    <w:p w:rsidR="00C83995" w:rsidRPr="00993492" w:rsidRDefault="00C83995" w:rsidP="00604007">
      <w:pPr>
        <w:spacing w:before="120" w:after="120"/>
        <w:ind w:firstLine="720"/>
        <w:jc w:val="both"/>
        <w:rPr>
          <w:color w:val="333333"/>
          <w:sz w:val="28"/>
          <w:szCs w:val="28"/>
        </w:rPr>
      </w:pPr>
      <w:r w:rsidRPr="00993492">
        <w:rPr>
          <w:color w:val="333333"/>
          <w:sz w:val="28"/>
          <w:szCs w:val="28"/>
        </w:rPr>
        <w:t xml:space="preserve">Bước 1: Nộp hồ sơ </w:t>
      </w:r>
    </w:p>
    <w:p w:rsidR="00C83995" w:rsidRPr="00993492" w:rsidRDefault="00C83995" w:rsidP="00604007">
      <w:pPr>
        <w:spacing w:before="120" w:after="120"/>
        <w:ind w:firstLine="720"/>
        <w:jc w:val="both"/>
        <w:rPr>
          <w:color w:val="333333"/>
          <w:sz w:val="28"/>
          <w:szCs w:val="28"/>
        </w:rPr>
      </w:pPr>
      <w:r w:rsidRPr="00993492">
        <w:rPr>
          <w:color w:val="333333"/>
          <w:sz w:val="28"/>
          <w:szCs w:val="28"/>
        </w:rPr>
        <w:t xml:space="preserve">- Người nghiện ma túy, người đại diện hợp pháp của người nghiện ma túy từ đủ 12 tuổi đến dưới 18 tuổi nộp 01 bộ hồ sơ theo quy định tại Khoản 4 Điều 28 Nghị định số 116/2021/NĐ-CP tại điểm tiếp nhận đăng ký cai nghiện của Ủy ban nhân dân cấp xã nơi cư trú và xuất trình bản chính giấy tờ tùy thân để đối chiếu. </w:t>
      </w:r>
    </w:p>
    <w:p w:rsidR="00C83995" w:rsidRPr="00993492" w:rsidRDefault="00C83995" w:rsidP="00604007">
      <w:pPr>
        <w:spacing w:before="120" w:after="120"/>
        <w:ind w:firstLine="720"/>
        <w:jc w:val="both"/>
        <w:rPr>
          <w:color w:val="333333"/>
          <w:sz w:val="28"/>
          <w:szCs w:val="28"/>
        </w:rPr>
      </w:pPr>
      <w:r w:rsidRPr="00993492">
        <w:rPr>
          <w:color w:val="333333"/>
          <w:sz w:val="28"/>
          <w:szCs w:val="28"/>
        </w:rPr>
        <w:t xml:space="preserve">- Đối với trường hợp người bị cơ quan có thẩm quyền xác định là nghiện ma túy thì trong thời hạn 05 ngày làm việc, kể từ ngày có kết quả xác định nghiện ma túy của cơ quan có thẩm quyền, người nghiện ma túy từ đủ 12 tuổi trở lên (sau đây gọi tắt là người nghiện ma túy) phải đăng ký cai nghiện ma túy tự nguyện hoặc đăng ký điều trị nghiện các chất dạng thuốc phiện bằng thuốc thay thế tại Ủy ban nhân dân cấp xã nơi người đó cư trú. Trường hợp, người không có nơi cư trú ổn định thì đăng ký tại Ủy ban nhân dân cấp xã nơi người đó có hành vi vi phạm pháp luật. </w:t>
      </w:r>
    </w:p>
    <w:p w:rsidR="00C83995" w:rsidRPr="00993492" w:rsidRDefault="00C83995" w:rsidP="00604007">
      <w:pPr>
        <w:spacing w:before="120" w:after="120"/>
        <w:ind w:firstLine="720"/>
        <w:jc w:val="both"/>
        <w:rPr>
          <w:color w:val="333333"/>
          <w:sz w:val="28"/>
          <w:szCs w:val="28"/>
        </w:rPr>
      </w:pPr>
      <w:r w:rsidRPr="00993492">
        <w:rPr>
          <w:color w:val="333333"/>
          <w:sz w:val="28"/>
          <w:szCs w:val="28"/>
        </w:rPr>
        <w:t xml:space="preserve">Bước 2: Tiếp nhận hồ sơ </w:t>
      </w:r>
    </w:p>
    <w:p w:rsidR="00C83995" w:rsidRPr="00993492" w:rsidRDefault="00C83995" w:rsidP="00604007">
      <w:pPr>
        <w:spacing w:before="120" w:after="120"/>
        <w:ind w:firstLine="720"/>
        <w:jc w:val="both"/>
        <w:rPr>
          <w:color w:val="333333"/>
          <w:sz w:val="28"/>
          <w:szCs w:val="28"/>
        </w:rPr>
      </w:pPr>
      <w:r w:rsidRPr="00993492">
        <w:rPr>
          <w:color w:val="333333"/>
          <w:sz w:val="28"/>
          <w:szCs w:val="28"/>
        </w:rPr>
        <w:t xml:space="preserve">- Chủ tịch Ủy ban nhân dân cấp xã bố trí địa điểm, nhân sự tiếp nhận hồ sơ, hướng dẫn việc đăng ký cai nghiện tự nguyện. </w:t>
      </w:r>
    </w:p>
    <w:p w:rsidR="00C83995" w:rsidRPr="00993492" w:rsidRDefault="00C83995" w:rsidP="00604007">
      <w:pPr>
        <w:spacing w:before="120" w:after="120"/>
        <w:ind w:firstLine="720"/>
        <w:jc w:val="both"/>
        <w:rPr>
          <w:color w:val="333333"/>
          <w:sz w:val="28"/>
          <w:szCs w:val="28"/>
        </w:rPr>
      </w:pPr>
      <w:r w:rsidRPr="00993492">
        <w:rPr>
          <w:color w:val="333333"/>
          <w:sz w:val="28"/>
          <w:szCs w:val="28"/>
        </w:rPr>
        <w:t xml:space="preserve">- Địa điểm tiếp nhận đăng ký cai nghiện tự nguyện phải có trang thiết bị cần thiết cho việc đón tiếp, lưu hồ sơ đăng ký. </w:t>
      </w:r>
    </w:p>
    <w:p w:rsidR="00C83995" w:rsidRPr="00993492" w:rsidRDefault="00C83995" w:rsidP="00604007">
      <w:pPr>
        <w:spacing w:before="120" w:after="120"/>
        <w:ind w:firstLine="720"/>
        <w:jc w:val="both"/>
        <w:rPr>
          <w:color w:val="333333"/>
          <w:sz w:val="28"/>
          <w:szCs w:val="28"/>
        </w:rPr>
      </w:pPr>
      <w:r w:rsidRPr="00993492">
        <w:rPr>
          <w:color w:val="333333"/>
          <w:sz w:val="28"/>
          <w:szCs w:val="28"/>
        </w:rPr>
        <w:t xml:space="preserve">- Người tiếp nhận kiểm tra hồ sơ, đối chiếu giấy tờ tùy thân và vào sổ đăng ký cai nghiện ma túy tự nguyện theo Mẫu số 23 Phụ lục II Nghị định số 116/2021/NĐ-CP. Trường hợp hồ sơ chưa hợp lệ, người tiếp nhận hướng dẫn người đăng ký hoàn thiện, bổ sung hồ sơ đăng ký cai nghiện tự nguyện. </w:t>
      </w:r>
    </w:p>
    <w:p w:rsidR="00C83995" w:rsidRPr="00993492" w:rsidRDefault="00C83995" w:rsidP="00604007">
      <w:pPr>
        <w:spacing w:before="120" w:after="120"/>
        <w:ind w:firstLine="720"/>
        <w:jc w:val="both"/>
        <w:rPr>
          <w:color w:val="333333"/>
          <w:sz w:val="28"/>
          <w:szCs w:val="28"/>
        </w:rPr>
      </w:pPr>
      <w:r w:rsidRPr="00993492">
        <w:rPr>
          <w:color w:val="333333"/>
          <w:sz w:val="28"/>
          <w:szCs w:val="28"/>
        </w:rPr>
        <w:t>Bước 3: Tổ chức thẩm định, quyết định cai nghiện ma túy tự nguyện/ không quyết định cai nghiện ma túy tự nguyện.</w:t>
      </w:r>
    </w:p>
    <w:p w:rsidR="00C83995" w:rsidRPr="00993492" w:rsidRDefault="00C83995" w:rsidP="00604007">
      <w:pPr>
        <w:spacing w:before="120" w:after="120"/>
        <w:ind w:firstLine="720"/>
        <w:jc w:val="both"/>
        <w:rPr>
          <w:color w:val="333333"/>
          <w:sz w:val="28"/>
          <w:szCs w:val="28"/>
        </w:rPr>
      </w:pPr>
      <w:r w:rsidRPr="00993492">
        <w:rPr>
          <w:color w:val="333333"/>
          <w:sz w:val="28"/>
          <w:szCs w:val="28"/>
        </w:rPr>
        <w:t xml:space="preserve"> - Trong thời hạn 03 ngày làm việc kể từ ngày tiếp nhận đăng ký cai nghiện tự nguyện Công an cấp xã có trách nhiệm giúp Chủ tịch Ủy ban nhân dân cùng cấp thẩm định hồ sơ đăng ký cai nghiện, trình Chủ tịch Ủy ban nhân dân cấp xã quyết định cai nghiện ma túy tự nguyện tại gia đình, cộng đồng. Trường hợp không quyết định cho cai nghiện ma túy tự nguyện tại gia đình, cộng đồng phải trả lời bằng văn bản và nêu rõ lý do. </w:t>
      </w:r>
    </w:p>
    <w:p w:rsidR="00C83995" w:rsidRPr="00993492" w:rsidRDefault="00C83995" w:rsidP="00604007">
      <w:pPr>
        <w:spacing w:before="120" w:after="120"/>
        <w:ind w:firstLine="720"/>
        <w:jc w:val="both"/>
        <w:rPr>
          <w:b/>
          <w:bCs/>
          <w:sz w:val="28"/>
          <w:szCs w:val="28"/>
        </w:rPr>
      </w:pPr>
      <w:r w:rsidRPr="00993492">
        <w:rPr>
          <w:color w:val="333333"/>
          <w:sz w:val="28"/>
          <w:szCs w:val="28"/>
        </w:rPr>
        <w:t>- Quyết định cai nghiện ma túy tự nguyện tại gia đình, cộng đồng, theo Mẫu số 24 Phụ lục II Nghị định số 116/2021/NĐ-CP phải được gửi cho cá nhân, gia đình người cai nghiện, các đơn vị cung cấp dịch vụ cai nghiện ma túy tại gia đình, cộng đồng và các tổ chức, cá nhân có liên quan để thực hiện.</w:t>
      </w:r>
    </w:p>
    <w:p w:rsidR="00C83995" w:rsidRPr="00993492" w:rsidRDefault="00C83995" w:rsidP="00604007">
      <w:pPr>
        <w:spacing w:before="120" w:after="120"/>
        <w:ind w:firstLine="720"/>
        <w:textAlignment w:val="baseline"/>
        <w:rPr>
          <w:color w:val="333333"/>
          <w:sz w:val="28"/>
          <w:szCs w:val="28"/>
        </w:rPr>
      </w:pPr>
      <w:r w:rsidRPr="00993492">
        <w:rPr>
          <w:b/>
          <w:bCs/>
          <w:sz w:val="28"/>
          <w:szCs w:val="28"/>
          <w:lang w:val="vi-VN"/>
        </w:rPr>
        <w:t>b) Cách thức thực hiện:</w:t>
      </w:r>
      <w:r w:rsidRPr="00993492">
        <w:rPr>
          <w:sz w:val="28"/>
          <w:szCs w:val="28"/>
          <w:lang w:val="vi-VN"/>
        </w:rPr>
        <w:t xml:space="preserve">  </w:t>
      </w:r>
    </w:p>
    <w:p w:rsidR="00C83995" w:rsidRPr="00993492" w:rsidRDefault="00C83995" w:rsidP="00604007">
      <w:pPr>
        <w:spacing w:before="120" w:after="120"/>
        <w:ind w:firstLine="720"/>
        <w:textAlignment w:val="baseline"/>
        <w:rPr>
          <w:color w:val="333333"/>
          <w:sz w:val="28"/>
          <w:szCs w:val="28"/>
        </w:rPr>
      </w:pPr>
      <w:r w:rsidRPr="00993492">
        <w:rPr>
          <w:bCs/>
          <w:color w:val="333333"/>
          <w:sz w:val="28"/>
          <w:szCs w:val="28"/>
          <w:bdr w:val="none" w:sz="0" w:space="0" w:color="auto" w:frame="1"/>
        </w:rPr>
        <w:t>Trực tiếp</w:t>
      </w:r>
    </w:p>
    <w:p w:rsidR="00C83995" w:rsidRPr="00993492" w:rsidRDefault="00C83995" w:rsidP="00604007">
      <w:pPr>
        <w:spacing w:before="120" w:after="120"/>
        <w:ind w:firstLine="720"/>
        <w:textAlignment w:val="baseline"/>
        <w:rPr>
          <w:color w:val="333333"/>
          <w:sz w:val="28"/>
          <w:szCs w:val="28"/>
        </w:rPr>
      </w:pPr>
      <w:r w:rsidRPr="00993492">
        <w:rPr>
          <w:bCs/>
          <w:color w:val="333333"/>
          <w:sz w:val="28"/>
          <w:szCs w:val="28"/>
          <w:bdr w:val="none" w:sz="0" w:space="0" w:color="auto" w:frame="1"/>
        </w:rPr>
        <w:t>Trực tuyến</w:t>
      </w:r>
    </w:p>
    <w:p w:rsidR="00C83995" w:rsidRPr="00993492" w:rsidRDefault="00C83995" w:rsidP="00604007">
      <w:pPr>
        <w:spacing w:before="120" w:after="120"/>
        <w:ind w:firstLine="720"/>
        <w:textAlignment w:val="baseline"/>
        <w:rPr>
          <w:color w:val="333333"/>
          <w:sz w:val="28"/>
          <w:szCs w:val="28"/>
        </w:rPr>
      </w:pPr>
      <w:r w:rsidRPr="00993492">
        <w:rPr>
          <w:bCs/>
          <w:color w:val="333333"/>
          <w:sz w:val="28"/>
          <w:szCs w:val="28"/>
          <w:bdr w:val="none" w:sz="0" w:space="0" w:color="auto" w:frame="1"/>
        </w:rPr>
        <w:lastRenderedPageBreak/>
        <w:t>Dịch vụ bưu chính</w:t>
      </w:r>
    </w:p>
    <w:p w:rsidR="00C83995" w:rsidRPr="00993492" w:rsidRDefault="00C83995" w:rsidP="00604007">
      <w:pPr>
        <w:spacing w:before="120" w:after="120"/>
        <w:ind w:firstLine="720"/>
        <w:jc w:val="both"/>
        <w:rPr>
          <w:b/>
          <w:bCs/>
          <w:sz w:val="28"/>
          <w:szCs w:val="28"/>
          <w:lang w:val="vi-VN"/>
        </w:rPr>
      </w:pPr>
      <w:r w:rsidRPr="00993492">
        <w:rPr>
          <w:b/>
          <w:bCs/>
          <w:sz w:val="28"/>
          <w:szCs w:val="28"/>
          <w:lang w:val="vi-VN"/>
        </w:rPr>
        <w:t>c) Thành phần, số lượng hồ sơ:</w:t>
      </w:r>
    </w:p>
    <w:p w:rsidR="00C83995" w:rsidRPr="00993492" w:rsidRDefault="00C83995" w:rsidP="00604007">
      <w:pPr>
        <w:spacing w:before="120" w:after="120"/>
        <w:ind w:firstLine="720"/>
        <w:jc w:val="both"/>
        <w:rPr>
          <w:i/>
          <w:iCs/>
          <w:sz w:val="28"/>
          <w:szCs w:val="28"/>
          <w:lang w:val="vi-VN"/>
        </w:rPr>
      </w:pPr>
      <w:r w:rsidRPr="00993492">
        <w:rPr>
          <w:i/>
          <w:iCs/>
          <w:sz w:val="28"/>
          <w:szCs w:val="28"/>
          <w:lang w:val="vi-VN"/>
        </w:rPr>
        <w:t>* Thành phần hồ sơ gồm:</w:t>
      </w:r>
    </w:p>
    <w:p w:rsidR="00993492" w:rsidRPr="00993492" w:rsidRDefault="00993492" w:rsidP="00604007">
      <w:pPr>
        <w:spacing w:before="120" w:after="120"/>
        <w:ind w:firstLine="720"/>
        <w:jc w:val="both"/>
        <w:rPr>
          <w:color w:val="333333"/>
          <w:sz w:val="28"/>
          <w:szCs w:val="28"/>
          <w:shd w:val="clear" w:color="auto" w:fill="ECF6FF"/>
        </w:rPr>
      </w:pPr>
      <w:r w:rsidRPr="00993492">
        <w:rPr>
          <w:color w:val="333333"/>
          <w:sz w:val="28"/>
          <w:szCs w:val="28"/>
          <w:shd w:val="clear" w:color="auto" w:fill="ECF6FF"/>
        </w:rPr>
        <w:t>- Đăng ký cai nghiện ma túy tự nguyện của người nghiện hoặc người đại diện hợp pháp theo Mẫu số 22 Phụ lục II Nghị định số 116/2021/NĐ-CP;</w:t>
      </w:r>
    </w:p>
    <w:p w:rsidR="00993492" w:rsidRPr="00993492" w:rsidRDefault="00993492" w:rsidP="00604007">
      <w:pPr>
        <w:spacing w:before="120" w:after="120"/>
        <w:ind w:firstLine="720"/>
        <w:jc w:val="both"/>
        <w:rPr>
          <w:color w:val="333333"/>
          <w:sz w:val="28"/>
          <w:szCs w:val="28"/>
          <w:shd w:val="clear" w:color="auto" w:fill="ECF6FF"/>
        </w:rPr>
      </w:pPr>
      <w:r w:rsidRPr="00993492">
        <w:rPr>
          <w:color w:val="333333"/>
          <w:sz w:val="28"/>
          <w:szCs w:val="28"/>
          <w:shd w:val="clear" w:color="auto" w:fill="ECF6FF"/>
        </w:rPr>
        <w:t>- Bản sao Phiếu kết quả xác định tình trạng nghiện ma túy của cơ quan có thẩm quyền</w:t>
      </w:r>
      <w:r w:rsidRPr="00993492">
        <w:rPr>
          <w:color w:val="333333"/>
          <w:sz w:val="28"/>
          <w:szCs w:val="28"/>
          <w:shd w:val="clear" w:color="auto" w:fill="ECF6FF"/>
        </w:rPr>
        <w:t>;</w:t>
      </w:r>
    </w:p>
    <w:p w:rsidR="00993492" w:rsidRPr="00993492" w:rsidRDefault="00993492" w:rsidP="00604007">
      <w:pPr>
        <w:spacing w:before="120" w:after="120"/>
        <w:ind w:firstLine="720"/>
        <w:jc w:val="both"/>
        <w:rPr>
          <w:color w:val="333333"/>
          <w:sz w:val="28"/>
          <w:szCs w:val="28"/>
          <w:shd w:val="clear" w:color="auto" w:fill="ECF6FF"/>
        </w:rPr>
      </w:pPr>
      <w:r w:rsidRPr="00993492">
        <w:rPr>
          <w:color w:val="333333"/>
          <w:sz w:val="28"/>
          <w:szCs w:val="28"/>
          <w:shd w:val="clear" w:color="auto" w:fill="ECF6FF"/>
        </w:rPr>
        <w:t>- Bản phôtô một trong các loại giấy tờ tùy thân: căn cước công dân hoặc chứng minh nhân dân, hộ chiếu, giấy khai sinh (đối với người từ đủ 12 tuổi đến dưới 18 tuổi) của người nghiện ma túy.</w:t>
      </w:r>
    </w:p>
    <w:p w:rsidR="00C83995" w:rsidRPr="00993492" w:rsidRDefault="00C83995" w:rsidP="00604007">
      <w:pPr>
        <w:spacing w:before="120" w:after="120"/>
        <w:ind w:firstLine="720"/>
        <w:jc w:val="both"/>
        <w:rPr>
          <w:sz w:val="28"/>
          <w:szCs w:val="28"/>
          <w:lang w:val="vi-VN"/>
        </w:rPr>
      </w:pPr>
      <w:r w:rsidRPr="00993492">
        <w:rPr>
          <w:i/>
          <w:iCs/>
          <w:sz w:val="28"/>
          <w:szCs w:val="28"/>
          <w:lang w:val="vi-VN"/>
        </w:rPr>
        <w:t>* Số lượng hồ sơ:</w:t>
      </w:r>
      <w:r w:rsidRPr="00993492">
        <w:rPr>
          <w:sz w:val="28"/>
          <w:szCs w:val="28"/>
          <w:lang w:val="vi-VN"/>
        </w:rPr>
        <w:t xml:space="preserve"> 01 (một) bộ.</w:t>
      </w:r>
    </w:p>
    <w:p w:rsidR="00C83995" w:rsidRPr="00993492" w:rsidRDefault="00C83995" w:rsidP="00604007">
      <w:pPr>
        <w:spacing w:before="120" w:after="120"/>
        <w:ind w:firstLine="720"/>
        <w:jc w:val="both"/>
        <w:rPr>
          <w:sz w:val="28"/>
          <w:szCs w:val="28"/>
          <w:lang w:val="vi-VN"/>
        </w:rPr>
      </w:pPr>
      <w:r w:rsidRPr="00993492">
        <w:rPr>
          <w:b/>
          <w:bCs/>
          <w:sz w:val="28"/>
          <w:szCs w:val="28"/>
          <w:lang w:val="vi-VN"/>
        </w:rPr>
        <w:t>d) Thời gian giải quyết:</w:t>
      </w:r>
      <w:r w:rsidRPr="00993492">
        <w:rPr>
          <w:sz w:val="28"/>
          <w:szCs w:val="28"/>
          <w:lang w:val="vi-VN"/>
        </w:rPr>
        <w:t xml:space="preserve"> trong thời hạn 0</w:t>
      </w:r>
      <w:r w:rsidR="00993492" w:rsidRPr="00993492">
        <w:rPr>
          <w:sz w:val="28"/>
          <w:szCs w:val="28"/>
        </w:rPr>
        <w:t>2</w:t>
      </w:r>
      <w:r w:rsidR="00993492" w:rsidRPr="00993492">
        <w:rPr>
          <w:sz w:val="28"/>
          <w:szCs w:val="28"/>
          <w:lang w:val="vi-VN"/>
        </w:rPr>
        <w:t xml:space="preserve"> ngày làm việc, kể từ ngày nhận đủ hồ sơ hợp lệ</w:t>
      </w:r>
    </w:p>
    <w:p w:rsidR="00993492" w:rsidRPr="00993492" w:rsidRDefault="00C83995" w:rsidP="00604007">
      <w:pPr>
        <w:spacing w:before="120" w:after="120"/>
        <w:ind w:firstLine="720"/>
        <w:jc w:val="both"/>
        <w:rPr>
          <w:b/>
          <w:bCs/>
          <w:sz w:val="28"/>
          <w:szCs w:val="28"/>
          <w:lang w:val="vi-VN"/>
        </w:rPr>
      </w:pPr>
      <w:r w:rsidRPr="00993492">
        <w:rPr>
          <w:b/>
          <w:bCs/>
          <w:sz w:val="28"/>
          <w:szCs w:val="28"/>
          <w:lang w:val="vi-VN"/>
        </w:rPr>
        <w:t>đ) Đối tượn</w:t>
      </w:r>
      <w:r w:rsidR="00993492" w:rsidRPr="00993492">
        <w:rPr>
          <w:b/>
          <w:bCs/>
          <w:sz w:val="28"/>
          <w:szCs w:val="28"/>
          <w:lang w:val="vi-VN"/>
        </w:rPr>
        <w:t xml:space="preserve">g thực hiện thủ tục hành chính: </w:t>
      </w:r>
      <w:r w:rsidR="00993492" w:rsidRPr="00993492">
        <w:rPr>
          <w:bCs/>
          <w:sz w:val="28"/>
          <w:szCs w:val="28"/>
          <w:lang w:val="vi-VN"/>
        </w:rPr>
        <w:t>Tổ chức</w:t>
      </w:r>
    </w:p>
    <w:p w:rsidR="00C83995" w:rsidRPr="00993492" w:rsidRDefault="00C83995" w:rsidP="00604007">
      <w:pPr>
        <w:spacing w:before="120" w:after="120"/>
        <w:ind w:firstLine="720"/>
        <w:jc w:val="both"/>
        <w:rPr>
          <w:sz w:val="28"/>
          <w:szCs w:val="28"/>
          <w:lang w:val="vi-VN"/>
        </w:rPr>
      </w:pPr>
      <w:r w:rsidRPr="00993492">
        <w:rPr>
          <w:b/>
          <w:bCs/>
          <w:sz w:val="28"/>
          <w:szCs w:val="28"/>
          <w:lang w:val="vi-VN"/>
        </w:rPr>
        <w:t>e) Cơ quan thực hiện thủ tục hành chính:</w:t>
      </w:r>
      <w:r w:rsidRPr="00993492">
        <w:rPr>
          <w:sz w:val="28"/>
          <w:szCs w:val="28"/>
          <w:lang w:val="vi-VN"/>
        </w:rPr>
        <w:t xml:space="preserve"> Ủy ban nhân dân cấp xã</w:t>
      </w:r>
    </w:p>
    <w:p w:rsidR="00993492" w:rsidRPr="00993492" w:rsidRDefault="00C83995" w:rsidP="00604007">
      <w:pPr>
        <w:spacing w:before="120" w:after="120"/>
        <w:ind w:firstLine="720"/>
        <w:jc w:val="both"/>
        <w:rPr>
          <w:sz w:val="28"/>
          <w:szCs w:val="28"/>
          <w:lang w:val="vi-VN"/>
        </w:rPr>
      </w:pPr>
      <w:r w:rsidRPr="00993492">
        <w:rPr>
          <w:b/>
          <w:bCs/>
          <w:sz w:val="28"/>
          <w:szCs w:val="28"/>
          <w:lang w:val="vi-VN"/>
        </w:rPr>
        <w:t>g) Kết quả thực hiện thủ tục hành chính:</w:t>
      </w:r>
      <w:r w:rsidRPr="00993492">
        <w:rPr>
          <w:sz w:val="28"/>
          <w:szCs w:val="28"/>
          <w:lang w:val="vi-VN"/>
        </w:rPr>
        <w:t xml:space="preserve"> </w:t>
      </w:r>
      <w:r w:rsidR="00993492" w:rsidRPr="00993492">
        <w:rPr>
          <w:sz w:val="28"/>
          <w:szCs w:val="28"/>
          <w:lang w:val="vi-VN"/>
        </w:rPr>
        <w:t>Quyết định của Chủ tịch Ủy ban nhân dân cấp xã về việc cai nghiện ma túy tự nguyện tại gia đình, cộng đồng.</w:t>
      </w:r>
    </w:p>
    <w:p w:rsidR="00C83995" w:rsidRPr="00993492" w:rsidRDefault="00C83995" w:rsidP="00604007">
      <w:pPr>
        <w:spacing w:before="120" w:after="120"/>
        <w:ind w:firstLine="720"/>
        <w:jc w:val="both"/>
        <w:rPr>
          <w:sz w:val="28"/>
          <w:szCs w:val="28"/>
          <w:lang w:val="vi-VN"/>
        </w:rPr>
      </w:pPr>
      <w:r w:rsidRPr="00993492">
        <w:rPr>
          <w:b/>
          <w:bCs/>
          <w:sz w:val="28"/>
          <w:szCs w:val="28"/>
          <w:lang w:val="vi-VN"/>
        </w:rPr>
        <w:t>h) Phí, lệ phí:</w:t>
      </w:r>
      <w:r w:rsidRPr="00993492">
        <w:rPr>
          <w:sz w:val="28"/>
          <w:szCs w:val="28"/>
          <w:lang w:val="vi-VN"/>
        </w:rPr>
        <w:t xml:space="preserve"> Không có </w:t>
      </w:r>
    </w:p>
    <w:p w:rsidR="00C83995" w:rsidRPr="00993492" w:rsidRDefault="00C83995" w:rsidP="00604007">
      <w:pPr>
        <w:spacing w:before="120" w:after="120"/>
        <w:ind w:firstLine="720"/>
        <w:jc w:val="both"/>
        <w:rPr>
          <w:sz w:val="28"/>
          <w:szCs w:val="28"/>
          <w:lang w:val="vi-VN"/>
        </w:rPr>
      </w:pPr>
      <w:r w:rsidRPr="00993492">
        <w:rPr>
          <w:b/>
          <w:bCs/>
          <w:sz w:val="28"/>
          <w:szCs w:val="28"/>
          <w:lang w:val="vi-VN"/>
        </w:rPr>
        <w:t>i) Tên mẫu đơn, mẫu tờ khai:</w:t>
      </w:r>
      <w:r w:rsidRPr="00993492">
        <w:rPr>
          <w:sz w:val="28"/>
          <w:szCs w:val="28"/>
          <w:lang w:val="vi-VN"/>
        </w:rPr>
        <w:t xml:space="preserve"> </w:t>
      </w:r>
    </w:p>
    <w:p w:rsidR="00993492" w:rsidRPr="00993492" w:rsidRDefault="00993492" w:rsidP="00604007">
      <w:pPr>
        <w:spacing w:before="120" w:after="120"/>
        <w:ind w:firstLine="720"/>
        <w:jc w:val="both"/>
        <w:rPr>
          <w:color w:val="333333"/>
          <w:sz w:val="28"/>
          <w:szCs w:val="28"/>
          <w:shd w:val="clear" w:color="auto" w:fill="ECF6FF"/>
        </w:rPr>
      </w:pPr>
      <w:r w:rsidRPr="00993492">
        <w:rPr>
          <w:color w:val="333333"/>
          <w:sz w:val="28"/>
          <w:szCs w:val="28"/>
          <w:shd w:val="clear" w:color="auto" w:fill="ECF6FF"/>
        </w:rPr>
        <w:t xml:space="preserve">- </w:t>
      </w:r>
      <w:r w:rsidRPr="00993492">
        <w:rPr>
          <w:color w:val="333333"/>
          <w:sz w:val="28"/>
          <w:szCs w:val="28"/>
          <w:shd w:val="clear" w:color="auto" w:fill="ECF6FF"/>
        </w:rPr>
        <w:t>Bản sao Phiếu kết quả xác định tình trạng nghiện ma túy của cơ quan có thẩm quyề</w:t>
      </w:r>
      <w:r w:rsidRPr="00993492">
        <w:rPr>
          <w:color w:val="333333"/>
          <w:sz w:val="28"/>
          <w:szCs w:val="28"/>
          <w:shd w:val="clear" w:color="auto" w:fill="ECF6FF"/>
        </w:rPr>
        <w:t>n;</w:t>
      </w:r>
    </w:p>
    <w:p w:rsidR="00993492" w:rsidRPr="00993492" w:rsidRDefault="00993492" w:rsidP="00604007">
      <w:pPr>
        <w:spacing w:before="120" w:after="120"/>
        <w:ind w:firstLine="720"/>
        <w:jc w:val="both"/>
        <w:rPr>
          <w:sz w:val="28"/>
          <w:szCs w:val="28"/>
          <w:lang w:val="vi-VN"/>
        </w:rPr>
      </w:pPr>
      <w:r w:rsidRPr="00993492">
        <w:rPr>
          <w:color w:val="333333"/>
          <w:sz w:val="28"/>
          <w:szCs w:val="28"/>
          <w:shd w:val="clear" w:color="auto" w:fill="ECF6FF"/>
        </w:rPr>
        <w:t>- Đăng ký cai nghiện ma túy tự nguyện của người nghiện hoặc người đại diện hợp pháp theo Mẫu số 22 Phụ lục II Nghị định số 116/2021/NĐ-CP</w:t>
      </w:r>
      <w:r w:rsidRPr="00993492">
        <w:rPr>
          <w:color w:val="333333"/>
          <w:sz w:val="28"/>
          <w:szCs w:val="28"/>
          <w:shd w:val="clear" w:color="auto" w:fill="ECF6FF"/>
        </w:rPr>
        <w:t>.</w:t>
      </w:r>
    </w:p>
    <w:p w:rsidR="00C83995" w:rsidRPr="00993492" w:rsidRDefault="00C83995" w:rsidP="00604007">
      <w:pPr>
        <w:spacing w:before="120" w:after="120"/>
        <w:ind w:firstLine="720"/>
        <w:jc w:val="both"/>
        <w:rPr>
          <w:sz w:val="28"/>
          <w:szCs w:val="28"/>
        </w:rPr>
      </w:pPr>
      <w:r w:rsidRPr="00993492">
        <w:rPr>
          <w:b/>
          <w:bCs/>
          <w:sz w:val="28"/>
          <w:szCs w:val="28"/>
          <w:lang w:val="vi-VN"/>
        </w:rPr>
        <w:t>k) Yêu cầu, điều kiện thực hiện thủ tục hành chính:</w:t>
      </w:r>
      <w:r w:rsidRPr="00993492">
        <w:rPr>
          <w:sz w:val="28"/>
          <w:szCs w:val="28"/>
          <w:lang w:val="vi-VN"/>
        </w:rPr>
        <w:t xml:space="preserve"> </w:t>
      </w:r>
      <w:r w:rsidR="00993492" w:rsidRPr="00993492">
        <w:rPr>
          <w:sz w:val="28"/>
          <w:szCs w:val="28"/>
        </w:rPr>
        <w:t>Không</w:t>
      </w:r>
    </w:p>
    <w:p w:rsidR="00C83995" w:rsidRPr="00993492" w:rsidRDefault="00C83995" w:rsidP="00604007">
      <w:pPr>
        <w:spacing w:before="120" w:after="120"/>
        <w:ind w:firstLine="720"/>
        <w:jc w:val="both"/>
        <w:rPr>
          <w:b/>
          <w:bCs/>
          <w:sz w:val="28"/>
          <w:szCs w:val="28"/>
          <w:lang w:val="vi-VN"/>
        </w:rPr>
      </w:pPr>
      <w:r w:rsidRPr="00993492">
        <w:rPr>
          <w:b/>
          <w:bCs/>
          <w:sz w:val="28"/>
          <w:szCs w:val="28"/>
          <w:lang w:val="vi-VN"/>
        </w:rPr>
        <w:t xml:space="preserve">l) Căn cứ pháp lý của thủ tục hành chính: </w:t>
      </w:r>
    </w:p>
    <w:p w:rsidR="00C83995" w:rsidRPr="00993492" w:rsidRDefault="00C83995" w:rsidP="00604007">
      <w:pPr>
        <w:spacing w:before="120" w:after="120"/>
        <w:ind w:firstLine="720"/>
        <w:jc w:val="both"/>
        <w:rPr>
          <w:sz w:val="28"/>
          <w:szCs w:val="28"/>
          <w:lang w:val="vi-VN"/>
        </w:rPr>
      </w:pPr>
      <w:r w:rsidRPr="00993492">
        <w:rPr>
          <w:sz w:val="28"/>
          <w:szCs w:val="28"/>
          <w:lang w:val="vi-VN"/>
        </w:rPr>
        <w:t xml:space="preserve">- Nghị định số 116/2021/NĐ-CP ngày 21/12/2021 của Chính phủ </w:t>
      </w:r>
    </w:p>
    <w:p w:rsidR="00C83995" w:rsidRPr="00993492" w:rsidRDefault="00C83995" w:rsidP="00604007">
      <w:pPr>
        <w:spacing w:before="120" w:after="120"/>
        <w:ind w:firstLine="720"/>
        <w:jc w:val="both"/>
        <w:rPr>
          <w:sz w:val="28"/>
          <w:szCs w:val="28"/>
          <w:lang w:val="vi-VN"/>
        </w:rPr>
      </w:pPr>
      <w:r w:rsidRPr="00993492">
        <w:rPr>
          <w:sz w:val="28"/>
          <w:szCs w:val="28"/>
          <w:lang w:val="vi-VN"/>
        </w:rPr>
        <w:t>- Luật Phòng chống ma túy số 73/2021/QH14</w:t>
      </w:r>
    </w:p>
    <w:p w:rsidR="000E6101" w:rsidRDefault="000E6101"/>
    <w:sectPr w:rsidR="000E6101" w:rsidSect="00604007">
      <w:headerReference w:type="default" r:id="rId7"/>
      <w:headerReference w:type="firs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C4A" w:rsidRDefault="00864C4A" w:rsidP="00604007">
      <w:r>
        <w:separator/>
      </w:r>
    </w:p>
  </w:endnote>
  <w:endnote w:type="continuationSeparator" w:id="0">
    <w:p w:rsidR="00864C4A" w:rsidRDefault="00864C4A" w:rsidP="0060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C4A" w:rsidRDefault="00864C4A" w:rsidP="00604007">
      <w:r>
        <w:separator/>
      </w:r>
    </w:p>
  </w:footnote>
  <w:footnote w:type="continuationSeparator" w:id="0">
    <w:p w:rsidR="00864C4A" w:rsidRDefault="00864C4A" w:rsidP="006040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992320"/>
      <w:docPartObj>
        <w:docPartGallery w:val="Page Numbers (Top of Page)"/>
        <w:docPartUnique/>
      </w:docPartObj>
    </w:sdtPr>
    <w:sdtEndPr>
      <w:rPr>
        <w:noProof/>
      </w:rPr>
    </w:sdtEndPr>
    <w:sdtContent>
      <w:p w:rsidR="00604007" w:rsidRDefault="00604007">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rsidR="00604007" w:rsidRDefault="0060400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459487"/>
      <w:docPartObj>
        <w:docPartGallery w:val="Page Numbers (Top of Page)"/>
        <w:docPartUnique/>
      </w:docPartObj>
    </w:sdtPr>
    <w:sdtEndPr>
      <w:rPr>
        <w:noProof/>
      </w:rPr>
    </w:sdtEndPr>
    <w:sdtContent>
      <w:p w:rsidR="00604007" w:rsidRDefault="00604007">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604007" w:rsidRDefault="0060400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B77A9"/>
    <w:multiLevelType w:val="multilevel"/>
    <w:tmpl w:val="CA52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92748A"/>
    <w:multiLevelType w:val="multilevel"/>
    <w:tmpl w:val="213E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995"/>
    <w:rsid w:val="000E6101"/>
    <w:rsid w:val="00133B22"/>
    <w:rsid w:val="00604007"/>
    <w:rsid w:val="007D57DC"/>
    <w:rsid w:val="00864C4A"/>
    <w:rsid w:val="00891825"/>
    <w:rsid w:val="00993492"/>
    <w:rsid w:val="00B946F6"/>
    <w:rsid w:val="00BD744F"/>
    <w:rsid w:val="00C83995"/>
    <w:rsid w:val="00CC3EA7"/>
    <w:rsid w:val="00D62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E525"/>
  <w15:chartTrackingRefBased/>
  <w15:docId w15:val="{21D4ECFE-A5CF-4BB5-87E9-D00AA46E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99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83995"/>
    <w:pPr>
      <w:spacing w:before="100" w:beforeAutospacing="1" w:after="100" w:afterAutospacing="1"/>
    </w:pPr>
  </w:style>
  <w:style w:type="paragraph" w:styleId="Header">
    <w:name w:val="header"/>
    <w:basedOn w:val="Normal"/>
    <w:link w:val="HeaderChar"/>
    <w:uiPriority w:val="99"/>
    <w:unhideWhenUsed/>
    <w:rsid w:val="00604007"/>
    <w:pPr>
      <w:tabs>
        <w:tab w:val="center" w:pos="4680"/>
        <w:tab w:val="right" w:pos="9360"/>
      </w:tabs>
    </w:pPr>
  </w:style>
  <w:style w:type="character" w:customStyle="1" w:styleId="HeaderChar">
    <w:name w:val="Header Char"/>
    <w:basedOn w:val="DefaultParagraphFont"/>
    <w:link w:val="Header"/>
    <w:uiPriority w:val="99"/>
    <w:rsid w:val="00604007"/>
    <w:rPr>
      <w:rFonts w:eastAsia="Times New Roman" w:cs="Times New Roman"/>
      <w:sz w:val="24"/>
      <w:szCs w:val="24"/>
    </w:rPr>
  </w:style>
  <w:style w:type="paragraph" w:styleId="Footer">
    <w:name w:val="footer"/>
    <w:basedOn w:val="Normal"/>
    <w:link w:val="FooterChar"/>
    <w:uiPriority w:val="99"/>
    <w:unhideWhenUsed/>
    <w:rsid w:val="00604007"/>
    <w:pPr>
      <w:tabs>
        <w:tab w:val="center" w:pos="4680"/>
        <w:tab w:val="right" w:pos="9360"/>
      </w:tabs>
    </w:pPr>
  </w:style>
  <w:style w:type="character" w:customStyle="1" w:styleId="FooterChar">
    <w:name w:val="Footer Char"/>
    <w:basedOn w:val="DefaultParagraphFont"/>
    <w:link w:val="Footer"/>
    <w:uiPriority w:val="99"/>
    <w:rsid w:val="0060400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277">
      <w:bodyDiv w:val="1"/>
      <w:marLeft w:val="0"/>
      <w:marRight w:val="0"/>
      <w:marTop w:val="0"/>
      <w:marBottom w:val="0"/>
      <w:divBdr>
        <w:top w:val="none" w:sz="0" w:space="0" w:color="auto"/>
        <w:left w:val="none" w:sz="0" w:space="0" w:color="auto"/>
        <w:bottom w:val="none" w:sz="0" w:space="0" w:color="auto"/>
        <w:right w:val="none" w:sz="0" w:space="0" w:color="auto"/>
      </w:divBdr>
    </w:div>
    <w:div w:id="304625934">
      <w:bodyDiv w:val="1"/>
      <w:marLeft w:val="0"/>
      <w:marRight w:val="0"/>
      <w:marTop w:val="0"/>
      <w:marBottom w:val="0"/>
      <w:divBdr>
        <w:top w:val="none" w:sz="0" w:space="0" w:color="auto"/>
        <w:left w:val="none" w:sz="0" w:space="0" w:color="auto"/>
        <w:bottom w:val="none" w:sz="0" w:space="0" w:color="auto"/>
        <w:right w:val="none" w:sz="0" w:space="0" w:color="auto"/>
      </w:divBdr>
    </w:div>
    <w:div w:id="13827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2022-12-07T13:09:00Z</dcterms:created>
  <dcterms:modified xsi:type="dcterms:W3CDTF">2022-12-07T13:22:00Z</dcterms:modified>
</cp:coreProperties>
</file>