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EC" w:rsidRPr="005950F8" w:rsidRDefault="008626EC" w:rsidP="008626EC">
      <w:pPr>
        <w:keepNext/>
        <w:jc w:val="center"/>
        <w:rPr>
          <w:b/>
          <w:lang w:val="nl-NL"/>
        </w:rPr>
      </w:pPr>
      <w:r w:rsidRPr="005950F8">
        <w:rPr>
          <w:b/>
          <w:lang w:val="nl-NL"/>
        </w:rPr>
        <w:t>DANH MỤC</w:t>
      </w:r>
    </w:p>
    <w:p w:rsidR="008626EC" w:rsidRPr="005950F8" w:rsidRDefault="008626EC" w:rsidP="008626EC">
      <w:pPr>
        <w:keepNext/>
        <w:ind w:right="-45"/>
        <w:jc w:val="center"/>
        <w:rPr>
          <w:b/>
          <w:spacing w:val="-2"/>
          <w:sz w:val="26"/>
          <w:szCs w:val="26"/>
          <w:lang w:val="nl-NL"/>
        </w:rPr>
      </w:pPr>
      <w:r w:rsidRPr="005950F8">
        <w:rPr>
          <w:b/>
          <w:spacing w:val="-2"/>
          <w:sz w:val="26"/>
          <w:szCs w:val="26"/>
          <w:lang w:val="nl-NL"/>
        </w:rPr>
        <w:t>TÀI LIỆU CỦA HTQLCL THEO TIÊU CHUẨN TCVN ISO 9001:2015</w:t>
      </w:r>
    </w:p>
    <w:p w:rsidR="008626EC" w:rsidRPr="005950F8" w:rsidRDefault="008626EC" w:rsidP="008626EC">
      <w:pPr>
        <w:keepNext/>
        <w:jc w:val="center"/>
        <w:rPr>
          <w:i/>
          <w:sz w:val="26"/>
          <w:szCs w:val="26"/>
          <w:lang w:val="nl-NL"/>
        </w:rPr>
      </w:pPr>
      <w:r w:rsidRPr="005950F8">
        <w:rPr>
          <w:i/>
          <w:sz w:val="26"/>
          <w:szCs w:val="26"/>
          <w:lang w:val="nl-NL"/>
        </w:rPr>
        <w:t xml:space="preserve">(Ban hành kèm theo Quyết định số:   </w:t>
      </w:r>
      <w:r w:rsidR="00DF1E77">
        <w:rPr>
          <w:i/>
          <w:sz w:val="26"/>
          <w:szCs w:val="26"/>
          <w:lang w:val="nl-NL"/>
        </w:rPr>
        <w:t>1989</w:t>
      </w:r>
      <w:r w:rsidRPr="005950F8">
        <w:rPr>
          <w:i/>
          <w:sz w:val="26"/>
          <w:szCs w:val="26"/>
          <w:lang w:val="nl-NL"/>
        </w:rPr>
        <w:t xml:space="preserve">  /QĐ-</w:t>
      </w:r>
      <w:r>
        <w:rPr>
          <w:i/>
          <w:sz w:val="26"/>
          <w:szCs w:val="26"/>
          <w:lang w:val="nl-NL"/>
        </w:rPr>
        <w:t>SXD</w:t>
      </w:r>
      <w:r w:rsidRPr="005950F8">
        <w:rPr>
          <w:i/>
          <w:sz w:val="26"/>
          <w:szCs w:val="26"/>
          <w:lang w:val="nl-NL"/>
        </w:rPr>
        <w:t xml:space="preserve"> ngày  </w:t>
      </w:r>
      <w:r w:rsidR="00DF1E77">
        <w:rPr>
          <w:i/>
          <w:sz w:val="26"/>
          <w:szCs w:val="26"/>
          <w:lang w:val="nl-NL"/>
        </w:rPr>
        <w:t>21</w:t>
      </w:r>
      <w:bookmarkStart w:id="0" w:name="_GoBack"/>
      <w:bookmarkEnd w:id="0"/>
      <w:r>
        <w:rPr>
          <w:i/>
          <w:sz w:val="26"/>
          <w:szCs w:val="26"/>
          <w:lang w:val="nl-NL"/>
        </w:rPr>
        <w:t>/12</w:t>
      </w:r>
      <w:r w:rsidRPr="005950F8">
        <w:rPr>
          <w:i/>
          <w:sz w:val="26"/>
          <w:szCs w:val="26"/>
          <w:lang w:val="nl-NL"/>
        </w:rPr>
        <w:t xml:space="preserve"> /</w:t>
      </w:r>
      <w:r>
        <w:rPr>
          <w:i/>
          <w:sz w:val="26"/>
          <w:szCs w:val="26"/>
          <w:lang w:val="nl-NL"/>
        </w:rPr>
        <w:t>2020</w:t>
      </w:r>
      <w:r w:rsidRPr="005950F8">
        <w:rPr>
          <w:i/>
          <w:sz w:val="26"/>
          <w:szCs w:val="26"/>
          <w:lang w:val="nl-NL"/>
        </w:rPr>
        <w:t xml:space="preserve"> của </w:t>
      </w:r>
    </w:p>
    <w:p w:rsidR="008626EC" w:rsidRPr="005950F8" w:rsidRDefault="008626EC" w:rsidP="008626EC">
      <w:pPr>
        <w:keepNext/>
        <w:spacing w:after="120"/>
        <w:jc w:val="center"/>
        <w:rPr>
          <w:i/>
          <w:sz w:val="26"/>
          <w:szCs w:val="26"/>
          <w:lang w:val="nl-NL"/>
        </w:rPr>
      </w:pPr>
      <w:r>
        <w:rPr>
          <w:i/>
          <w:sz w:val="26"/>
          <w:szCs w:val="26"/>
          <w:lang w:val="nl-NL"/>
        </w:rPr>
        <w:t>Sở Xây</w:t>
      </w:r>
      <w:r>
        <w:rPr>
          <w:i/>
          <w:sz w:val="26"/>
          <w:szCs w:val="26"/>
          <w:lang w:val="vi-VN"/>
        </w:rPr>
        <w:t xml:space="preserve"> dựng thông tỉnh Cao Bằng</w:t>
      </w:r>
      <w:r w:rsidRPr="005950F8">
        <w:rPr>
          <w:i/>
          <w:sz w:val="26"/>
          <w:szCs w:val="26"/>
          <w:lang w:val="nl-NL"/>
        </w:rPr>
        <w:t>).</w:t>
      </w:r>
    </w:p>
    <w:p w:rsidR="008626EC" w:rsidRDefault="008626EC" w:rsidP="008626EC">
      <w:pPr>
        <w:keepNext/>
        <w:tabs>
          <w:tab w:val="left" w:pos="3450"/>
        </w:tabs>
        <w:rPr>
          <w:lang w:val="nl-NL"/>
        </w:rPr>
      </w:pPr>
      <w:r>
        <w:rPr>
          <w:lang w:val="nl-NL"/>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13"/>
        <w:gridCol w:w="2142"/>
        <w:gridCol w:w="1417"/>
      </w:tblGrid>
      <w:tr w:rsidR="008626EC" w:rsidRPr="00215EC2" w:rsidTr="005E0E8E">
        <w:tc>
          <w:tcPr>
            <w:tcW w:w="851" w:type="dxa"/>
            <w:vAlign w:val="center"/>
          </w:tcPr>
          <w:p w:rsidR="008626EC" w:rsidRPr="006850C5" w:rsidRDefault="008626EC" w:rsidP="005E0E8E">
            <w:pPr>
              <w:spacing w:before="20" w:after="20"/>
              <w:jc w:val="center"/>
              <w:rPr>
                <w:b/>
                <w:bCs/>
                <w:color w:val="000000"/>
                <w:sz w:val="26"/>
                <w:szCs w:val="26"/>
              </w:rPr>
            </w:pPr>
            <w:r w:rsidRPr="006850C5">
              <w:rPr>
                <w:b/>
                <w:bCs/>
                <w:color w:val="000000"/>
                <w:sz w:val="26"/>
                <w:szCs w:val="26"/>
              </w:rPr>
              <w:t>STT</w:t>
            </w:r>
          </w:p>
        </w:tc>
        <w:tc>
          <w:tcPr>
            <w:tcW w:w="5513" w:type="dxa"/>
            <w:vAlign w:val="center"/>
          </w:tcPr>
          <w:p w:rsidR="008626EC" w:rsidRPr="006850C5" w:rsidRDefault="008626EC" w:rsidP="005E0E8E">
            <w:pPr>
              <w:spacing w:before="20" w:after="20"/>
              <w:jc w:val="center"/>
              <w:rPr>
                <w:b/>
                <w:bCs/>
                <w:color w:val="000000"/>
                <w:sz w:val="26"/>
                <w:szCs w:val="26"/>
              </w:rPr>
            </w:pPr>
            <w:r w:rsidRPr="006850C5">
              <w:rPr>
                <w:b/>
                <w:bCs/>
                <w:color w:val="000000"/>
                <w:sz w:val="26"/>
                <w:szCs w:val="26"/>
              </w:rPr>
              <w:t>Tên tài liệu</w:t>
            </w:r>
          </w:p>
        </w:tc>
        <w:tc>
          <w:tcPr>
            <w:tcW w:w="2142" w:type="dxa"/>
            <w:shd w:val="clear" w:color="auto" w:fill="auto"/>
            <w:vAlign w:val="center"/>
          </w:tcPr>
          <w:p w:rsidR="008626EC" w:rsidRPr="006850C5" w:rsidRDefault="008626EC" w:rsidP="005E0E8E">
            <w:pPr>
              <w:spacing w:before="20" w:after="20"/>
              <w:jc w:val="center"/>
              <w:rPr>
                <w:b/>
                <w:bCs/>
                <w:color w:val="000000"/>
                <w:sz w:val="26"/>
                <w:szCs w:val="26"/>
                <w:lang w:val="nl-NL"/>
              </w:rPr>
            </w:pPr>
            <w:r w:rsidRPr="006850C5">
              <w:rPr>
                <w:b/>
                <w:bCs/>
                <w:color w:val="000000"/>
                <w:sz w:val="26"/>
                <w:szCs w:val="26"/>
                <w:lang w:val="nl-NL"/>
              </w:rPr>
              <w:t>Mã hiệu</w:t>
            </w:r>
          </w:p>
        </w:tc>
        <w:tc>
          <w:tcPr>
            <w:tcW w:w="1417" w:type="dxa"/>
            <w:shd w:val="clear" w:color="auto" w:fill="auto"/>
            <w:vAlign w:val="center"/>
          </w:tcPr>
          <w:p w:rsidR="008626EC" w:rsidRPr="006850C5" w:rsidRDefault="008626EC" w:rsidP="005E0E8E">
            <w:pPr>
              <w:spacing w:before="20" w:after="20"/>
              <w:jc w:val="center"/>
              <w:rPr>
                <w:b/>
                <w:bCs/>
                <w:color w:val="000000"/>
                <w:sz w:val="26"/>
                <w:szCs w:val="26"/>
                <w:lang w:val="nl-NL"/>
              </w:rPr>
            </w:pPr>
            <w:r w:rsidRPr="006850C5">
              <w:rPr>
                <w:b/>
                <w:bCs/>
                <w:color w:val="000000"/>
                <w:sz w:val="26"/>
                <w:szCs w:val="26"/>
                <w:lang w:val="nl-NL"/>
              </w:rPr>
              <w:t>Ghi chú</w:t>
            </w:r>
          </w:p>
        </w:tc>
      </w:tr>
      <w:tr w:rsidR="008626EC" w:rsidRPr="00A30FFE" w:rsidTr="005E0E8E">
        <w:tc>
          <w:tcPr>
            <w:tcW w:w="9923" w:type="dxa"/>
            <w:gridSpan w:val="4"/>
            <w:vAlign w:val="center"/>
          </w:tcPr>
          <w:p w:rsidR="008626EC" w:rsidRPr="00A30FFE" w:rsidRDefault="008626EC" w:rsidP="005E0E8E">
            <w:pPr>
              <w:spacing w:before="20" w:after="20"/>
              <w:rPr>
                <w:b/>
                <w:bCs/>
                <w:color w:val="000000"/>
                <w:sz w:val="26"/>
                <w:szCs w:val="26"/>
                <w:lang w:val="nl-NL"/>
              </w:rPr>
            </w:pPr>
            <w:r w:rsidRPr="00A30FFE">
              <w:rPr>
                <w:b/>
                <w:bCs/>
                <w:color w:val="000000"/>
                <w:sz w:val="26"/>
                <w:szCs w:val="26"/>
                <w:lang w:val="vi-VN"/>
              </w:rPr>
              <w:t>Tài liệu hệ thống chung</w:t>
            </w:r>
            <w:r w:rsidRPr="00A30FFE">
              <w:rPr>
                <w:b/>
                <w:bCs/>
                <w:color w:val="000000"/>
                <w:sz w:val="26"/>
                <w:szCs w:val="26"/>
                <w:lang w:val="nl-NL"/>
              </w:rPr>
              <w:t xml:space="preserve"> </w:t>
            </w: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 xml:space="preserve">Mô hình hệ thống quản lý chất lượng  </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MH-HTQLCL</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Chính sách chất lượng</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PL-ISO-01/CSCL</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Mục tiêu chất lượng</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PL-ISO-02/MTCL</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Danh mục tài liệu HTQLCL TCVN ISO 9001:2015</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PL-ISO-03/DMTL</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Bảng nhận diện rủi ro và cơ hội</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PL-ISO-04/RRCH</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Quy trình kiểm soát tài liệu, hồ sơ</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QT-ISO-01</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Quy trình kiểm soát sự không phù hợp và hành động khắc phục</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QT-ISO-02</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sidRPr="006850C5">
              <w:rPr>
                <w:color w:val="000000"/>
                <w:sz w:val="26"/>
                <w:szCs w:val="26"/>
                <w:lang w:val="vi-VN"/>
              </w:rPr>
              <w:t>Quy trình đánh giá nội bộ</w:t>
            </w:r>
          </w:p>
        </w:tc>
        <w:tc>
          <w:tcPr>
            <w:tcW w:w="2142" w:type="dxa"/>
            <w:shd w:val="clear" w:color="auto" w:fill="auto"/>
            <w:vAlign w:val="center"/>
          </w:tcPr>
          <w:p w:rsidR="008626EC" w:rsidRPr="006850C5" w:rsidRDefault="008626EC" w:rsidP="005E0E8E">
            <w:pPr>
              <w:spacing w:before="20" w:after="20"/>
              <w:jc w:val="center"/>
              <w:rPr>
                <w:color w:val="000000"/>
                <w:sz w:val="26"/>
                <w:szCs w:val="26"/>
              </w:rPr>
            </w:pPr>
            <w:r w:rsidRPr="006850C5">
              <w:rPr>
                <w:color w:val="000000"/>
                <w:sz w:val="26"/>
                <w:szCs w:val="26"/>
                <w:lang w:val="vi-VN"/>
              </w:rPr>
              <w:t>QT-ISO-0</w:t>
            </w:r>
            <w:r w:rsidRPr="006850C5">
              <w:rPr>
                <w:color w:val="000000"/>
                <w:sz w:val="26"/>
                <w:szCs w:val="26"/>
              </w:rPr>
              <w:t>3</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Pr>
                <w:color w:val="000000"/>
                <w:sz w:val="26"/>
                <w:szCs w:val="26"/>
                <w:lang w:val="vi-VN"/>
              </w:rPr>
              <w:t>Quy trình tiếp nhận và xử lý phản hồi của khách hàng</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Pr>
                <w:color w:val="000000"/>
                <w:sz w:val="26"/>
                <w:szCs w:val="26"/>
                <w:lang w:val="vi-VN"/>
              </w:rPr>
              <w:t>QT-ISO-04</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rPr>
                <w:color w:val="000000"/>
                <w:sz w:val="26"/>
                <w:szCs w:val="26"/>
                <w:lang w:val="vi-VN"/>
              </w:rPr>
            </w:pPr>
            <w:r>
              <w:rPr>
                <w:color w:val="000000"/>
                <w:sz w:val="26"/>
                <w:szCs w:val="26"/>
                <w:lang w:val="vi-VN"/>
              </w:rPr>
              <w:t>Quy trình đánh giá sự hài lòng của khách hàng</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Pr>
                <w:color w:val="000000"/>
                <w:sz w:val="26"/>
                <w:szCs w:val="26"/>
                <w:lang w:val="vi-VN"/>
              </w:rPr>
              <w:t>QT-ISO-05</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Default="008626EC" w:rsidP="005E0E8E">
            <w:pPr>
              <w:spacing w:before="20" w:after="20"/>
              <w:rPr>
                <w:color w:val="000000"/>
                <w:sz w:val="26"/>
                <w:szCs w:val="26"/>
                <w:lang w:val="vi-VN"/>
              </w:rPr>
            </w:pPr>
            <w:r>
              <w:rPr>
                <w:color w:val="000000"/>
                <w:sz w:val="26"/>
                <w:szCs w:val="26"/>
                <w:lang w:val="vi-VN"/>
              </w:rPr>
              <w:t>Quy trình tiếp nhận và trả kết quả giải quyết TTHC</w:t>
            </w:r>
          </w:p>
        </w:tc>
        <w:tc>
          <w:tcPr>
            <w:tcW w:w="2142" w:type="dxa"/>
            <w:shd w:val="clear" w:color="auto" w:fill="auto"/>
            <w:vAlign w:val="center"/>
          </w:tcPr>
          <w:p w:rsidR="008626EC" w:rsidRDefault="008626EC" w:rsidP="005E0E8E">
            <w:pPr>
              <w:spacing w:before="20" w:after="20"/>
              <w:jc w:val="center"/>
              <w:rPr>
                <w:color w:val="000000"/>
                <w:sz w:val="26"/>
                <w:szCs w:val="26"/>
                <w:lang w:val="vi-VN"/>
              </w:rPr>
            </w:pPr>
            <w:r>
              <w:rPr>
                <w:color w:val="000000"/>
                <w:sz w:val="26"/>
                <w:szCs w:val="26"/>
                <w:lang w:val="vi-VN"/>
              </w:rPr>
              <w:t>QT-ISO-06</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9923" w:type="dxa"/>
            <w:gridSpan w:val="4"/>
            <w:vAlign w:val="center"/>
          </w:tcPr>
          <w:p w:rsidR="008626EC" w:rsidRPr="00A30FFE" w:rsidRDefault="008626EC" w:rsidP="005E0E8E">
            <w:pPr>
              <w:spacing w:before="20" w:after="20"/>
              <w:rPr>
                <w:b/>
                <w:bCs/>
                <w:color w:val="000000"/>
                <w:sz w:val="26"/>
                <w:szCs w:val="26"/>
              </w:rPr>
            </w:pPr>
            <w:r w:rsidRPr="00A30FFE">
              <w:rPr>
                <w:b/>
                <w:bCs/>
                <w:color w:val="000000"/>
                <w:sz w:val="26"/>
                <w:szCs w:val="26"/>
                <w:lang w:val="vi-VN"/>
              </w:rPr>
              <w:t>Tài liệu của Văn phòng Sở</w:t>
            </w: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jc w:val="both"/>
              <w:rPr>
                <w:color w:val="000000"/>
                <w:spacing w:val="-2"/>
                <w:sz w:val="26"/>
                <w:szCs w:val="26"/>
              </w:rPr>
            </w:pPr>
            <w:r w:rsidRPr="006850C5">
              <w:rPr>
                <w:color w:val="000000"/>
                <w:spacing w:val="-2"/>
                <w:sz w:val="26"/>
                <w:szCs w:val="26"/>
              </w:rPr>
              <w:t>Quy trình quản lý văn bản đi-đến</w:t>
            </w:r>
          </w:p>
        </w:tc>
        <w:tc>
          <w:tcPr>
            <w:tcW w:w="2142" w:type="dxa"/>
            <w:shd w:val="clear" w:color="auto" w:fill="auto"/>
            <w:vAlign w:val="center"/>
          </w:tcPr>
          <w:p w:rsidR="008626EC" w:rsidRPr="006850C5" w:rsidRDefault="008626EC" w:rsidP="005E0E8E">
            <w:pPr>
              <w:spacing w:before="20" w:after="20"/>
              <w:jc w:val="center"/>
              <w:rPr>
                <w:color w:val="000000"/>
                <w:sz w:val="26"/>
                <w:szCs w:val="26"/>
              </w:rPr>
            </w:pPr>
            <w:r w:rsidRPr="006850C5">
              <w:rPr>
                <w:color w:val="000000"/>
                <w:sz w:val="26"/>
                <w:szCs w:val="26"/>
                <w:lang w:val="vi-VN"/>
              </w:rPr>
              <w:t>QT-VP-</w:t>
            </w:r>
            <w:r w:rsidRPr="006850C5">
              <w:rPr>
                <w:color w:val="000000"/>
                <w:sz w:val="26"/>
                <w:szCs w:val="26"/>
              </w:rPr>
              <w:t>01</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jc w:val="both"/>
              <w:rPr>
                <w:color w:val="000000"/>
                <w:spacing w:val="-2"/>
                <w:sz w:val="26"/>
                <w:szCs w:val="26"/>
              </w:rPr>
            </w:pPr>
            <w:r w:rsidRPr="006850C5">
              <w:rPr>
                <w:color w:val="000000"/>
                <w:spacing w:val="-2"/>
                <w:sz w:val="26"/>
                <w:szCs w:val="26"/>
              </w:rPr>
              <w:t>Quy trình mua sắm quản lý tài sản công</w:t>
            </w:r>
          </w:p>
        </w:tc>
        <w:tc>
          <w:tcPr>
            <w:tcW w:w="2142" w:type="dxa"/>
            <w:shd w:val="clear" w:color="auto" w:fill="auto"/>
            <w:vAlign w:val="center"/>
          </w:tcPr>
          <w:p w:rsidR="008626EC" w:rsidRPr="006850C5" w:rsidRDefault="008626EC" w:rsidP="005E0E8E">
            <w:pPr>
              <w:spacing w:before="20" w:after="20"/>
              <w:jc w:val="center"/>
              <w:rPr>
                <w:color w:val="000000"/>
                <w:sz w:val="26"/>
                <w:szCs w:val="26"/>
              </w:rPr>
            </w:pPr>
            <w:r w:rsidRPr="006850C5">
              <w:rPr>
                <w:color w:val="000000"/>
                <w:sz w:val="26"/>
                <w:szCs w:val="26"/>
                <w:lang w:val="vi-VN"/>
              </w:rPr>
              <w:t>QT-VP-0</w:t>
            </w:r>
            <w:r w:rsidRPr="006850C5">
              <w:rPr>
                <w:color w:val="000000"/>
                <w:sz w:val="26"/>
                <w:szCs w:val="26"/>
              </w:rPr>
              <w:t>2</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747321" w:rsidTr="005E0E8E">
        <w:trPr>
          <w:trHeight w:val="571"/>
        </w:trPr>
        <w:tc>
          <w:tcPr>
            <w:tcW w:w="851" w:type="dxa"/>
            <w:vAlign w:val="center"/>
          </w:tcPr>
          <w:p w:rsidR="008626EC" w:rsidRPr="006850C5" w:rsidRDefault="008626EC" w:rsidP="005E0E8E">
            <w:pPr>
              <w:numPr>
                <w:ilvl w:val="0"/>
                <w:numId w:val="1"/>
              </w:numPr>
              <w:spacing w:before="20" w:after="20" w:line="276" w:lineRule="auto"/>
              <w:jc w:val="center"/>
              <w:rPr>
                <w:color w:val="000000"/>
                <w:sz w:val="26"/>
                <w:szCs w:val="26"/>
              </w:rPr>
            </w:pPr>
          </w:p>
        </w:tc>
        <w:tc>
          <w:tcPr>
            <w:tcW w:w="5513" w:type="dxa"/>
            <w:vAlign w:val="center"/>
          </w:tcPr>
          <w:p w:rsidR="008626EC" w:rsidRPr="006850C5" w:rsidRDefault="008626EC" w:rsidP="005E0E8E">
            <w:pPr>
              <w:spacing w:before="20" w:after="20"/>
              <w:jc w:val="both"/>
              <w:rPr>
                <w:color w:val="000000"/>
                <w:spacing w:val="-2"/>
                <w:sz w:val="26"/>
                <w:szCs w:val="26"/>
                <w:lang w:val="vi-VN"/>
              </w:rPr>
            </w:pPr>
            <w:r w:rsidRPr="006850C5">
              <w:rPr>
                <w:color w:val="000000"/>
                <w:spacing w:val="-2"/>
                <w:sz w:val="26"/>
                <w:szCs w:val="26"/>
                <w:lang w:val="vi-VN"/>
              </w:rPr>
              <w:t>Quy trình đánh giá, xếp loại chất lượng công chức</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QT-VP-03</w:t>
            </w:r>
          </w:p>
        </w:tc>
        <w:tc>
          <w:tcPr>
            <w:tcW w:w="1417" w:type="dxa"/>
            <w:shd w:val="clear" w:color="auto" w:fill="auto"/>
            <w:vAlign w:val="center"/>
          </w:tcPr>
          <w:p w:rsidR="008626EC" w:rsidRPr="006850C5" w:rsidRDefault="008626EC" w:rsidP="005E0E8E">
            <w:pPr>
              <w:spacing w:before="20" w:after="20"/>
              <w:rPr>
                <w:color w:val="000000"/>
                <w:sz w:val="26"/>
                <w:szCs w:val="26"/>
              </w:rPr>
            </w:pPr>
          </w:p>
        </w:tc>
      </w:tr>
      <w:tr w:rsidR="008626EC" w:rsidRPr="00215EC2" w:rsidTr="005E0E8E">
        <w:trPr>
          <w:trHeight w:val="571"/>
        </w:trPr>
        <w:tc>
          <w:tcPr>
            <w:tcW w:w="9923" w:type="dxa"/>
            <w:gridSpan w:val="4"/>
            <w:vAlign w:val="center"/>
          </w:tcPr>
          <w:p w:rsidR="008626EC" w:rsidRPr="006850C5" w:rsidRDefault="008626EC" w:rsidP="005E0E8E">
            <w:pPr>
              <w:spacing w:before="20" w:after="20"/>
              <w:rPr>
                <w:b/>
                <w:bCs/>
                <w:color w:val="000000"/>
                <w:sz w:val="26"/>
                <w:szCs w:val="26"/>
              </w:rPr>
            </w:pPr>
            <w:r w:rsidRPr="006850C5">
              <w:rPr>
                <w:b/>
                <w:bCs/>
                <w:color w:val="000000"/>
                <w:sz w:val="26"/>
                <w:szCs w:val="26"/>
              </w:rPr>
              <w:t>Quy trình giải quyết TTHC</w:t>
            </w:r>
          </w:p>
        </w:tc>
      </w:tr>
      <w:tr w:rsidR="008626EC" w:rsidRPr="00215EC2" w:rsidTr="005E0E8E">
        <w:trPr>
          <w:trHeight w:val="445"/>
        </w:trPr>
        <w:tc>
          <w:tcPr>
            <w:tcW w:w="851" w:type="dxa"/>
            <w:vAlign w:val="center"/>
          </w:tcPr>
          <w:p w:rsidR="008626EC" w:rsidRPr="006850C5" w:rsidRDefault="008626EC" w:rsidP="005E0E8E">
            <w:pPr>
              <w:spacing w:before="20" w:after="20"/>
              <w:ind w:left="360"/>
              <w:rPr>
                <w:b/>
                <w:bCs/>
                <w:color w:val="000000"/>
                <w:sz w:val="26"/>
                <w:szCs w:val="26"/>
                <w:lang w:val="vi-VN"/>
              </w:rPr>
            </w:pPr>
            <w:r w:rsidRPr="006850C5">
              <w:rPr>
                <w:b/>
                <w:bCs/>
                <w:color w:val="000000"/>
                <w:sz w:val="26"/>
                <w:szCs w:val="26"/>
                <w:lang w:val="vi-VN"/>
              </w:rPr>
              <w:t>I</w:t>
            </w:r>
          </w:p>
        </w:tc>
        <w:tc>
          <w:tcPr>
            <w:tcW w:w="5513" w:type="dxa"/>
            <w:vAlign w:val="center"/>
          </w:tcPr>
          <w:p w:rsidR="008626EC" w:rsidRPr="006850C5" w:rsidRDefault="008626EC" w:rsidP="005E0E8E">
            <w:pPr>
              <w:spacing w:before="120"/>
              <w:ind w:left="89"/>
              <w:jc w:val="both"/>
              <w:rPr>
                <w:b/>
                <w:bCs/>
                <w:color w:val="000000"/>
                <w:sz w:val="26"/>
                <w:szCs w:val="26"/>
                <w:lang w:val="vi-VN"/>
              </w:rPr>
            </w:pPr>
            <w:r w:rsidRPr="006850C5">
              <w:rPr>
                <w:b/>
                <w:bCs/>
                <w:color w:val="000000"/>
                <w:sz w:val="26"/>
                <w:szCs w:val="26"/>
                <w:lang w:val="vi-VN"/>
              </w:rPr>
              <w:t>Lĩnh vực quản lý xây dựng</w:t>
            </w:r>
          </w:p>
        </w:tc>
        <w:tc>
          <w:tcPr>
            <w:tcW w:w="2142" w:type="dxa"/>
            <w:shd w:val="clear" w:color="auto" w:fill="auto"/>
            <w:vAlign w:val="center"/>
          </w:tcPr>
          <w:p w:rsidR="008626EC" w:rsidRPr="006850C5" w:rsidRDefault="008626EC" w:rsidP="005E0E8E">
            <w:pPr>
              <w:spacing w:before="20" w:after="20"/>
              <w:jc w:val="center"/>
              <w:rPr>
                <w:b/>
                <w:bCs/>
                <w:color w:val="000000"/>
                <w:sz w:val="26"/>
                <w:szCs w:val="26"/>
                <w:lang w:val="vi-VN"/>
              </w:rPr>
            </w:pPr>
          </w:p>
        </w:tc>
        <w:tc>
          <w:tcPr>
            <w:tcW w:w="1417" w:type="dxa"/>
            <w:shd w:val="clear" w:color="auto" w:fill="auto"/>
            <w:vAlign w:val="center"/>
          </w:tcPr>
          <w:p w:rsidR="008626EC" w:rsidRPr="006850C5" w:rsidRDefault="008626EC" w:rsidP="005E0E8E">
            <w:pPr>
              <w:spacing w:before="20" w:after="20"/>
              <w:jc w:val="center"/>
              <w:rPr>
                <w:b/>
                <w:bCs/>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rPr>
            </w:pPr>
            <w:r w:rsidRPr="006850C5">
              <w:rPr>
                <w:color w:val="000000"/>
                <w:sz w:val="26"/>
                <w:szCs w:val="26"/>
                <w:lang w:val="pl-PL"/>
              </w:rPr>
              <w:t xml:space="preserve">Thẩm định dự án/dự án điều chỉnh hoặc </w:t>
            </w:r>
            <w:r w:rsidRPr="006850C5">
              <w:rPr>
                <w:color w:val="000000"/>
                <w:sz w:val="26"/>
                <w:szCs w:val="26"/>
              </w:rPr>
              <w:t>Báo cáo kinh tế - kỹ thuật/ Báo cáo kinh tế- kỹ thuật điều chỉnh (đối với dự án sử dụng ngân sách nhà nước).</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QT-QLXD-01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jc w:val="both"/>
              <w:rPr>
                <w:color w:val="000000"/>
                <w:spacing w:val="-8"/>
                <w:sz w:val="26"/>
                <w:szCs w:val="26"/>
              </w:rPr>
            </w:pPr>
            <w:r w:rsidRPr="006850C5">
              <w:rPr>
                <w:color w:val="000000"/>
                <w:sz w:val="26"/>
                <w:szCs w:val="26"/>
              </w:rPr>
              <w:t xml:space="preserve">Thẩm định thiết kế cơ sở/thiết kế cơ sở điều chỉnh hoặc Thiết kế bản vẽ thi công, dự toán xây dựng/thiết kế bản vẽ thi công, dự toán xây dựng điều chỉnh trường hợp thiết kế 1 bước (đối với dự án sử dụng vốn nhà nước ngoài ngân sách, </w:t>
            </w:r>
            <w:r w:rsidRPr="006850C5">
              <w:rPr>
                <w:color w:val="000000"/>
                <w:sz w:val="26"/>
                <w:szCs w:val="26"/>
                <w:lang w:val="pl-PL"/>
              </w:rPr>
              <w:t xml:space="preserve">dự án PPP </w:t>
            </w:r>
            <w:r w:rsidRPr="006850C5">
              <w:rPr>
                <w:color w:val="000000"/>
                <w:sz w:val="26"/>
                <w:szCs w:val="26"/>
              </w:rPr>
              <w:t xml:space="preserve"> và vốn khác).</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QT-QLXD-02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jc w:val="both"/>
              <w:rPr>
                <w:color w:val="000000"/>
                <w:sz w:val="26"/>
                <w:szCs w:val="26"/>
                <w:lang w:val="vi-VN"/>
              </w:rPr>
            </w:pPr>
            <w:r w:rsidRPr="006850C5">
              <w:rPr>
                <w:color w:val="000000"/>
                <w:sz w:val="26"/>
                <w:szCs w:val="26"/>
              </w:rPr>
              <w:t>Thẩm định thiết kế, dự toán xây dựng/ thiết kế, dự toán xây dựng điều chỉnh</w:t>
            </w:r>
            <w:r w:rsidRPr="006850C5">
              <w:rPr>
                <w:iCs/>
                <w:color w:val="000000"/>
                <w:sz w:val="26"/>
                <w:szCs w:val="26"/>
              </w:rPr>
              <w:t xml:space="preserve"> (thiết kế sau thiết kế cơ sở).</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QT-QLXD-03</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rPr>
              <w:t>Kiểm tra công tác nghiệm thu đưa công trình vào sử dụng đối với các công trình trên địa bàn tỉnh thuộc trách nhiệm quản lý của Sở quản lý công trình xây dựng chuyên ngành (trừ các công trình thuộc thẩm quyền kiểm tra của Hội đồng nghiệm thu Nhà nước các công trình xây dựng, cơ quan chuyên môn về xây dựng trực thuộc Bộ Xây dựng, Bộ quản lý công trình xây dựng chuyên ngành và các phòng chuyên môn cấp huyện).</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QT-QLXD-04</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val="pl-PL"/>
              </w:rPr>
              <w:t>Cấp GPXD đối với các công trình xây dựng cấp I, cấp II; công trình tôn giáo; công trình di tích lịch sử - văn hóa, công trình tượng đài, tranh hoành tráng được xếp hạng; công trình thuộc dự án có vốn đầu tư trực tiếp nước ngoài (trừ công trình thuộc thẩm quyền Ban quản lý khu kinh tế tỉnh cấp GPXD); công trình thuộc dự án (trừ Báo cáo kinh tế- kỹ thuật công trình từ cấp III trở xuống); di dời công trình; công trình nằm trên địa bàn của hai đơn vị hành chính cấp huyện trở lên; công trình, nhà ở riêng lẻ xây dựng trên đường phố chính trong đô thị Thành phố Cao Bằng.</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QT-QLXD-05</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rPr>
            </w:pPr>
            <w:r w:rsidRPr="006850C5">
              <w:rPr>
                <w:color w:val="000000"/>
                <w:sz w:val="26"/>
                <w:szCs w:val="26"/>
                <w:lang w:val="pl-PL"/>
              </w:rPr>
              <w:t xml:space="preserve">Điều chỉnh, gia hạn, cấp lại giấy phép xây dựng đối với công trình thuộc thẩm quyền của Sở Xây dựng </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QT-QLXD-06</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val="pl-PL"/>
              </w:rPr>
              <w:t xml:space="preserve">Đăng tải/thay đổi, bổ sung thông tin năng lực Hoạt động xây dựng của tổ chức (chỉ áp dụng cho tổ chức không thuộc đối tượng cấp chứng chỉ </w:t>
            </w:r>
            <w:r w:rsidRPr="006850C5">
              <w:rPr>
                <w:color w:val="000000"/>
                <w:sz w:val="26"/>
                <w:szCs w:val="26"/>
                <w:lang w:val="pl-PL"/>
              </w:rPr>
              <w:lastRenderedPageBreak/>
              <w:t>năng lực)</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lastRenderedPageBreak/>
              <w:t>QT-QLXD-07</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val="pl-PL"/>
              </w:rPr>
              <w:t>Bổ nhiệm giám định viên tư pháp xây dựng đối với cá nhân khác không thuộc thẩm quyền của Bộ Xây dựng</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QT-QLXD-08</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val="pl-PL"/>
              </w:rPr>
              <w:t xml:space="preserve">Đăng ký công bố thông tin người giám định tư pháp xây dựng theo vụ việc, tổ chức giám định tư pháp xây dựng theo vụ việc đối với các cá nhân, tổ chức không thuộc thẩm quyền của Bộ Xây dựng, văn phòng giám định tư  pháp xây dựng trên địa bàn được Ủy ban nhân dân tỉnh cho phép hoạt động </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QT-QLXD-09</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ind w:left="91"/>
              <w:jc w:val="both"/>
              <w:rPr>
                <w:color w:val="000000"/>
                <w:sz w:val="26"/>
                <w:szCs w:val="26"/>
                <w:lang w:val="vi-VN"/>
              </w:rPr>
            </w:pPr>
            <w:r w:rsidRPr="006850C5">
              <w:rPr>
                <w:color w:val="000000"/>
                <w:sz w:val="26"/>
                <w:szCs w:val="26"/>
                <w:lang w:val="pl-PL"/>
              </w:rPr>
              <w:t>Điều chỉnh, thay đổi thông tin cá nhân, tổ chức giám định tư pháp xây dựng đối với cá nhân, tổ chức do Ủy ban nhân dân cấp tỉnh đã tiếp nhận đăng ký, công bố thông tin</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QT-QLXD-10</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rPr>
            </w:pPr>
            <w:r w:rsidRPr="006850C5">
              <w:rPr>
                <w:color w:val="000000"/>
                <w:sz w:val="26"/>
                <w:szCs w:val="26"/>
                <w:lang w:val="pl-PL"/>
              </w:rPr>
              <w:t xml:space="preserve">Cấp giấy phép hoạt động xây dựng cho tổ chức và cá nhân nước ngoài hoạt động xây dựng tại tỉnh Cao Bằng thực hiện hợp đồng của dự án nhóm B, C </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val="pl-PL"/>
              </w:rPr>
              <w:t xml:space="preserve">Điều chỉnh giấy phép hoạt động xây dựng cho tổ chức và cá nhân nước ngoài hoạt động xây dựng tại tỉnh Cao Bằng thực hiện hợp đồng của dự án nhóm B, C </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Chuyển đổi chứng chỉ hành nghề hoạt động xây dựng hạng II, III của cá nhân nước ngoài</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QT-QLXD-13</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Cấp chứng chỉ năng lực hoạt động xây dựng hạng II, hạng III</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QT-QLXD-14</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Cấp  lại chứng chỉ năng lực hoạt động xây dựng hạng II, hạng III</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QT-QLXD-15</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pacing w:val="-6"/>
                <w:sz w:val="26"/>
                <w:szCs w:val="26"/>
                <w:lang w:val="vi-VN"/>
              </w:rPr>
            </w:pPr>
            <w:r w:rsidRPr="006850C5">
              <w:rPr>
                <w:color w:val="000000"/>
                <w:sz w:val="26"/>
                <w:szCs w:val="26"/>
                <w:lang w:eastAsia="vi-VN"/>
              </w:rPr>
              <w:t>Điều chỉnh, bổ sung chứng chỉ năng lực hoạt động xây dựng hạng II, hạng III (về lĩnh vực và hạng)</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QT-QLXD-16</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Cấp chứng chỉ  hành nghề hoạt động xây dựng hạng II, III</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QT-QLXD-17</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Cấp nâng hạng chứng chỉ  hành nghề hoạt động xây dựng hạng II, III</w:t>
            </w:r>
          </w:p>
        </w:tc>
        <w:tc>
          <w:tcPr>
            <w:tcW w:w="2142" w:type="dxa"/>
            <w:shd w:val="clear" w:color="auto" w:fill="auto"/>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QT-QLXD-18</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CA71CC"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 xml:space="preserve">Điều chỉnh, bổ sung chứng chỉ  hành nghề hoạt </w:t>
            </w:r>
            <w:r w:rsidRPr="006850C5">
              <w:rPr>
                <w:color w:val="000000"/>
                <w:sz w:val="26"/>
                <w:szCs w:val="26"/>
                <w:lang w:eastAsia="vi-VN"/>
              </w:rPr>
              <w:lastRenderedPageBreak/>
              <w:t>động xây dựng hạng II, III</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lastRenderedPageBreak/>
              <w:t>QT-QLXD-19</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Cấp lại chứng chỉ  hành nghề hoạt động xây dựng hạng II, III (đối với trường hợp bị thu hồi quy định tại điểm b,c,d Khoản 2 Điều 44a Nghị định số 100/2018/NĐ-CP)</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QT-QLXD-20</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697F1A"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6850C5">
              <w:rPr>
                <w:color w:val="000000"/>
                <w:sz w:val="26"/>
                <w:szCs w:val="26"/>
                <w:lang w:eastAsia="vi-VN"/>
              </w:rPr>
              <w:t>Cấp lại chứng chỉ  hành nghề hoạt động xây dựng hạng II, III do lỗi của cơ quan cấp</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QT-QLXD-21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after="120"/>
              <w:ind w:left="89"/>
              <w:jc w:val="both"/>
              <w:rPr>
                <w:color w:val="000000"/>
                <w:sz w:val="26"/>
                <w:szCs w:val="26"/>
                <w:lang w:val="vi-VN"/>
              </w:rPr>
            </w:pPr>
            <w:r w:rsidRPr="006850C5">
              <w:rPr>
                <w:color w:val="000000"/>
                <w:sz w:val="26"/>
                <w:szCs w:val="26"/>
                <w:lang w:eastAsia="vi-VN"/>
              </w:rPr>
              <w:t>Cấp lại chứng chỉ  hành nghề hoạt động xây dựng hạng II, III (trường hợp chứng chỉ mất, hư hỏng, hết hạn)</w:t>
            </w:r>
          </w:p>
        </w:tc>
        <w:tc>
          <w:tcPr>
            <w:tcW w:w="2142" w:type="dxa"/>
            <w:shd w:val="clear" w:color="auto" w:fill="auto"/>
          </w:tcPr>
          <w:p w:rsidR="008626EC" w:rsidRPr="006850C5" w:rsidRDefault="008626EC" w:rsidP="005E0E8E">
            <w:pPr>
              <w:spacing w:before="20" w:after="20"/>
              <w:jc w:val="center"/>
              <w:rPr>
                <w:color w:val="000000"/>
                <w:sz w:val="26"/>
                <w:szCs w:val="26"/>
              </w:rPr>
            </w:pPr>
            <w:r w:rsidRPr="006850C5">
              <w:rPr>
                <w:color w:val="000000"/>
                <w:sz w:val="26"/>
                <w:szCs w:val="26"/>
                <w:lang w:val="vi-VN"/>
              </w:rPr>
              <w:t>QT-QLXD-22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215EC2" w:rsidTr="005E0E8E">
        <w:trPr>
          <w:trHeight w:val="445"/>
        </w:trPr>
        <w:tc>
          <w:tcPr>
            <w:tcW w:w="851" w:type="dxa"/>
            <w:vAlign w:val="center"/>
          </w:tcPr>
          <w:p w:rsidR="008626EC" w:rsidRPr="006850C5" w:rsidRDefault="008626EC" w:rsidP="005E0E8E">
            <w:pPr>
              <w:spacing w:before="20" w:after="20"/>
              <w:ind w:left="360"/>
              <w:jc w:val="center"/>
              <w:rPr>
                <w:b/>
                <w:bCs/>
                <w:color w:val="000000"/>
                <w:sz w:val="26"/>
                <w:szCs w:val="26"/>
                <w:lang w:val="vi-VN"/>
              </w:rPr>
            </w:pPr>
            <w:r w:rsidRPr="006850C5">
              <w:rPr>
                <w:b/>
                <w:bCs/>
                <w:color w:val="000000"/>
                <w:sz w:val="26"/>
                <w:szCs w:val="26"/>
                <w:lang w:val="vi-VN"/>
              </w:rPr>
              <w:t>II</w:t>
            </w:r>
          </w:p>
        </w:tc>
        <w:tc>
          <w:tcPr>
            <w:tcW w:w="5513" w:type="dxa"/>
            <w:vAlign w:val="center"/>
          </w:tcPr>
          <w:p w:rsidR="008626EC" w:rsidRPr="006850C5" w:rsidRDefault="008626EC" w:rsidP="005E0E8E">
            <w:pPr>
              <w:spacing w:before="120" w:after="120"/>
              <w:ind w:left="89"/>
              <w:jc w:val="both"/>
              <w:rPr>
                <w:b/>
                <w:bCs/>
                <w:color w:val="000000"/>
                <w:sz w:val="26"/>
                <w:szCs w:val="26"/>
                <w:lang w:val="vi-VN"/>
              </w:rPr>
            </w:pPr>
            <w:r w:rsidRPr="006850C5">
              <w:rPr>
                <w:b/>
                <w:bCs/>
                <w:color w:val="000000"/>
                <w:sz w:val="26"/>
                <w:szCs w:val="26"/>
                <w:lang w:val="vi-VN"/>
              </w:rPr>
              <w:t>Quy hoạch, kiến trúc</w:t>
            </w:r>
          </w:p>
        </w:tc>
        <w:tc>
          <w:tcPr>
            <w:tcW w:w="2142" w:type="dxa"/>
            <w:shd w:val="clear" w:color="auto" w:fill="auto"/>
          </w:tcPr>
          <w:p w:rsidR="008626EC" w:rsidRPr="006850C5" w:rsidRDefault="008626EC" w:rsidP="005E0E8E">
            <w:pPr>
              <w:spacing w:before="20" w:after="20"/>
              <w:jc w:val="center"/>
              <w:rPr>
                <w:b/>
                <w:bCs/>
                <w:color w:val="000000"/>
                <w:sz w:val="26"/>
                <w:szCs w:val="26"/>
              </w:rPr>
            </w:pPr>
          </w:p>
        </w:tc>
        <w:tc>
          <w:tcPr>
            <w:tcW w:w="1417" w:type="dxa"/>
            <w:shd w:val="clear" w:color="auto" w:fill="auto"/>
            <w:vAlign w:val="center"/>
          </w:tcPr>
          <w:p w:rsidR="008626EC" w:rsidRPr="006850C5" w:rsidRDefault="008626EC" w:rsidP="005E0E8E">
            <w:pPr>
              <w:spacing w:before="20" w:after="20"/>
              <w:jc w:val="center"/>
              <w:rPr>
                <w:b/>
                <w:bCs/>
                <w:color w:val="000000"/>
                <w:sz w:val="26"/>
                <w:szCs w:val="26"/>
              </w:rPr>
            </w:pPr>
          </w:p>
        </w:tc>
      </w:tr>
      <w:tr w:rsidR="008626EC" w:rsidRPr="00CA71CC"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after="120"/>
              <w:ind w:left="89"/>
              <w:jc w:val="both"/>
              <w:rPr>
                <w:color w:val="000000"/>
                <w:sz w:val="26"/>
                <w:szCs w:val="26"/>
                <w:lang w:val="vi-VN"/>
              </w:rPr>
            </w:pPr>
            <w:r w:rsidRPr="00215EC2">
              <w:rPr>
                <w:sz w:val="26"/>
                <w:szCs w:val="26"/>
              </w:rPr>
              <w:t>Thẩm định nhiệm vụ, nhiệm vụ điều chỉnh quy hoạch chi tiết của dự án đầu tư xây dựng công trình theo hình thức kinh doanh thuộc thẩm quyền phê duyệt của UBND cấp tỉnh.</w:t>
            </w:r>
          </w:p>
        </w:tc>
        <w:tc>
          <w:tcPr>
            <w:tcW w:w="2142" w:type="dxa"/>
            <w:shd w:val="clear" w:color="auto" w:fill="auto"/>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QT-QHKT-01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CA71CC"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after="120"/>
              <w:ind w:left="89"/>
              <w:jc w:val="both"/>
              <w:rPr>
                <w:color w:val="000000"/>
                <w:sz w:val="26"/>
                <w:szCs w:val="26"/>
                <w:lang w:val="vi-VN"/>
              </w:rPr>
            </w:pPr>
            <w:r w:rsidRPr="00215EC2">
              <w:rPr>
                <w:sz w:val="26"/>
                <w:szCs w:val="26"/>
              </w:rPr>
              <w:t>Thẩm định đồ án, đồ án điều chỉnh quy hoạch chi tiết của dự án đầu tư xây dựng công trình theo hình thức kinh doanh thuộc thẩm quyền phê duyệt của UBND cấp tỉnh</w:t>
            </w:r>
          </w:p>
        </w:tc>
        <w:tc>
          <w:tcPr>
            <w:tcW w:w="2142" w:type="dxa"/>
            <w:shd w:val="clear" w:color="auto" w:fill="auto"/>
          </w:tcPr>
          <w:p w:rsidR="008626EC" w:rsidRPr="006850C5" w:rsidRDefault="008626EC" w:rsidP="005E0E8E">
            <w:pPr>
              <w:spacing w:before="20" w:after="20"/>
              <w:jc w:val="center"/>
              <w:rPr>
                <w:color w:val="000000"/>
                <w:sz w:val="26"/>
                <w:szCs w:val="26"/>
              </w:rPr>
            </w:pPr>
            <w:r w:rsidRPr="007D188A">
              <w:rPr>
                <w:color w:val="000000"/>
                <w:sz w:val="26"/>
                <w:szCs w:val="26"/>
                <w:lang w:val="vi-VN"/>
              </w:rPr>
              <w:t>QT-QHKT-0</w:t>
            </w:r>
            <w:r>
              <w:rPr>
                <w:color w:val="000000"/>
                <w:sz w:val="26"/>
                <w:szCs w:val="26"/>
                <w:lang w:val="vi-VN"/>
              </w:rPr>
              <w:t>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CA71CC"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215EC2" w:rsidRDefault="008626EC" w:rsidP="005E0E8E">
            <w:pPr>
              <w:spacing w:before="120" w:after="120"/>
              <w:ind w:left="89"/>
              <w:jc w:val="both"/>
              <w:rPr>
                <w:sz w:val="26"/>
                <w:szCs w:val="26"/>
              </w:rPr>
            </w:pPr>
            <w:r>
              <w:rPr>
                <w:sz w:val="26"/>
                <w:szCs w:val="26"/>
                <w:lang w:val="vi-VN"/>
              </w:rPr>
              <w:t>Quy trình cung cấp thông tin về quy hoạch xây dựng thuộc thẩm quyền của UBND tỉnh</w:t>
            </w:r>
          </w:p>
        </w:tc>
        <w:tc>
          <w:tcPr>
            <w:tcW w:w="2142" w:type="dxa"/>
            <w:shd w:val="clear" w:color="auto" w:fill="auto"/>
          </w:tcPr>
          <w:p w:rsidR="008626EC" w:rsidRPr="007D188A" w:rsidRDefault="008626EC" w:rsidP="005E0E8E">
            <w:pPr>
              <w:spacing w:before="20" w:after="20"/>
              <w:jc w:val="center"/>
              <w:rPr>
                <w:color w:val="000000"/>
                <w:sz w:val="26"/>
                <w:szCs w:val="26"/>
                <w:lang w:val="vi-VN"/>
              </w:rPr>
            </w:pPr>
            <w:r>
              <w:rPr>
                <w:sz w:val="26"/>
                <w:szCs w:val="26"/>
                <w:lang w:val="vi-VN"/>
              </w:rPr>
              <w:t>QT-QHKT-03</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215EC2" w:rsidTr="005E0E8E">
        <w:trPr>
          <w:trHeight w:val="445"/>
        </w:trPr>
        <w:tc>
          <w:tcPr>
            <w:tcW w:w="851" w:type="dxa"/>
            <w:vAlign w:val="center"/>
          </w:tcPr>
          <w:p w:rsidR="008626EC" w:rsidRPr="006850C5" w:rsidRDefault="008626EC" w:rsidP="005E0E8E">
            <w:pPr>
              <w:spacing w:before="20" w:after="20"/>
              <w:rPr>
                <w:b/>
                <w:bCs/>
                <w:color w:val="000000"/>
                <w:sz w:val="26"/>
                <w:szCs w:val="26"/>
                <w:lang w:val="vi-VN"/>
              </w:rPr>
            </w:pPr>
            <w:r w:rsidRPr="006850C5">
              <w:rPr>
                <w:b/>
                <w:bCs/>
                <w:color w:val="000000"/>
                <w:sz w:val="26"/>
                <w:szCs w:val="26"/>
                <w:lang w:val="vi-VN"/>
              </w:rPr>
              <w:t>III</w:t>
            </w:r>
          </w:p>
        </w:tc>
        <w:tc>
          <w:tcPr>
            <w:tcW w:w="5513" w:type="dxa"/>
            <w:vAlign w:val="center"/>
          </w:tcPr>
          <w:p w:rsidR="008626EC" w:rsidRPr="006850C5" w:rsidRDefault="008626EC" w:rsidP="005E0E8E">
            <w:pPr>
              <w:spacing w:before="120" w:after="120"/>
              <w:ind w:left="89"/>
              <w:jc w:val="both"/>
              <w:rPr>
                <w:b/>
                <w:bCs/>
                <w:color w:val="000000"/>
                <w:sz w:val="26"/>
                <w:szCs w:val="26"/>
                <w:lang w:val="vi-VN"/>
              </w:rPr>
            </w:pPr>
            <w:r w:rsidRPr="006850C5">
              <w:rPr>
                <w:b/>
                <w:bCs/>
                <w:color w:val="000000"/>
                <w:sz w:val="26"/>
                <w:szCs w:val="26"/>
                <w:lang w:val="vi-VN"/>
              </w:rPr>
              <w:t>Phát triển đô thị</w:t>
            </w:r>
          </w:p>
        </w:tc>
        <w:tc>
          <w:tcPr>
            <w:tcW w:w="2142" w:type="dxa"/>
            <w:shd w:val="clear" w:color="auto" w:fill="auto"/>
          </w:tcPr>
          <w:p w:rsidR="008626EC" w:rsidRPr="006850C5" w:rsidRDefault="008626EC" w:rsidP="005E0E8E">
            <w:pPr>
              <w:spacing w:before="20" w:after="20"/>
              <w:jc w:val="center"/>
              <w:rPr>
                <w:b/>
                <w:bCs/>
                <w:color w:val="000000"/>
                <w:sz w:val="26"/>
                <w:szCs w:val="26"/>
              </w:rPr>
            </w:pPr>
          </w:p>
        </w:tc>
        <w:tc>
          <w:tcPr>
            <w:tcW w:w="1417" w:type="dxa"/>
            <w:shd w:val="clear" w:color="auto" w:fill="auto"/>
            <w:vAlign w:val="center"/>
          </w:tcPr>
          <w:p w:rsidR="008626EC" w:rsidRPr="006850C5" w:rsidRDefault="008626EC" w:rsidP="005E0E8E">
            <w:pPr>
              <w:spacing w:before="20" w:after="20"/>
              <w:jc w:val="center"/>
              <w:rPr>
                <w:b/>
                <w:bCs/>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after="120"/>
              <w:ind w:left="89"/>
              <w:jc w:val="both"/>
              <w:rPr>
                <w:color w:val="000000"/>
                <w:sz w:val="26"/>
                <w:szCs w:val="26"/>
                <w:lang w:val="vi-VN"/>
              </w:rPr>
            </w:pPr>
            <w:r w:rsidRPr="00215EC2">
              <w:rPr>
                <w:bCs/>
                <w:sz w:val="26"/>
                <w:szCs w:val="26"/>
                <w:lang w:val="nl-NL"/>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QT-PTĐT-01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after="120"/>
              <w:ind w:left="89"/>
              <w:jc w:val="both"/>
              <w:rPr>
                <w:color w:val="000000"/>
                <w:sz w:val="26"/>
                <w:szCs w:val="26"/>
                <w:lang w:val="vi-VN"/>
              </w:rPr>
            </w:pPr>
            <w:r w:rsidRPr="00215EC2">
              <w:rPr>
                <w:bCs/>
                <w:sz w:val="26"/>
                <w:szCs w:val="26"/>
                <w:lang w:val="nl-NL"/>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chấp thuận của UBND cấp tỉnh</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QT-PTĐT-0</w:t>
            </w:r>
            <w:r>
              <w:rPr>
                <w:color w:val="000000"/>
                <w:sz w:val="26"/>
                <w:szCs w:val="26"/>
                <w:lang w:val="vi-VN"/>
              </w:rPr>
              <w:t>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215EC2" w:rsidTr="005E0E8E">
        <w:trPr>
          <w:trHeight w:val="445"/>
        </w:trPr>
        <w:tc>
          <w:tcPr>
            <w:tcW w:w="851" w:type="dxa"/>
            <w:vAlign w:val="center"/>
          </w:tcPr>
          <w:p w:rsidR="008626EC" w:rsidRPr="006850C5" w:rsidRDefault="008626EC" w:rsidP="005E0E8E">
            <w:pPr>
              <w:spacing w:before="20" w:after="20"/>
              <w:jc w:val="center"/>
              <w:rPr>
                <w:b/>
                <w:bCs/>
                <w:color w:val="000000"/>
                <w:sz w:val="26"/>
                <w:szCs w:val="26"/>
                <w:lang w:val="vi-VN"/>
              </w:rPr>
            </w:pPr>
            <w:r w:rsidRPr="006850C5">
              <w:rPr>
                <w:b/>
                <w:bCs/>
                <w:color w:val="000000"/>
                <w:sz w:val="26"/>
                <w:szCs w:val="26"/>
                <w:lang w:val="vi-VN"/>
              </w:rPr>
              <w:lastRenderedPageBreak/>
              <w:t>IV</w:t>
            </w:r>
          </w:p>
        </w:tc>
        <w:tc>
          <w:tcPr>
            <w:tcW w:w="5513" w:type="dxa"/>
            <w:vAlign w:val="center"/>
          </w:tcPr>
          <w:p w:rsidR="008626EC" w:rsidRPr="006850C5" w:rsidRDefault="008626EC" w:rsidP="005E0E8E">
            <w:pPr>
              <w:spacing w:before="120" w:after="120"/>
              <w:ind w:left="89"/>
              <w:jc w:val="both"/>
              <w:rPr>
                <w:b/>
                <w:bCs/>
                <w:color w:val="000000"/>
                <w:sz w:val="26"/>
                <w:szCs w:val="26"/>
                <w:lang w:val="vi-VN"/>
              </w:rPr>
            </w:pPr>
            <w:r w:rsidRPr="006850C5">
              <w:rPr>
                <w:b/>
                <w:bCs/>
                <w:color w:val="000000"/>
                <w:sz w:val="26"/>
                <w:szCs w:val="26"/>
                <w:lang w:val="vi-VN"/>
              </w:rPr>
              <w:t>Quản lý nhà ở và công sở</w:t>
            </w:r>
          </w:p>
        </w:tc>
        <w:tc>
          <w:tcPr>
            <w:tcW w:w="2142" w:type="dxa"/>
            <w:shd w:val="clear" w:color="auto" w:fill="auto"/>
            <w:vAlign w:val="center"/>
          </w:tcPr>
          <w:p w:rsidR="008626EC" w:rsidRPr="006850C5" w:rsidRDefault="008626EC" w:rsidP="005E0E8E">
            <w:pPr>
              <w:spacing w:before="20" w:after="20"/>
              <w:jc w:val="center"/>
              <w:rPr>
                <w:b/>
                <w:bCs/>
                <w:color w:val="000000"/>
                <w:sz w:val="26"/>
                <w:szCs w:val="26"/>
              </w:rPr>
            </w:pPr>
          </w:p>
        </w:tc>
        <w:tc>
          <w:tcPr>
            <w:tcW w:w="1417" w:type="dxa"/>
            <w:shd w:val="clear" w:color="auto" w:fill="auto"/>
            <w:vAlign w:val="center"/>
          </w:tcPr>
          <w:p w:rsidR="008626EC" w:rsidRPr="006850C5" w:rsidRDefault="008626EC" w:rsidP="005E0E8E">
            <w:pPr>
              <w:spacing w:before="20" w:after="20"/>
              <w:jc w:val="center"/>
              <w:rPr>
                <w:b/>
                <w:bCs/>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after="120"/>
              <w:ind w:left="89"/>
              <w:jc w:val="both"/>
              <w:rPr>
                <w:color w:val="000000"/>
                <w:sz w:val="26"/>
                <w:szCs w:val="26"/>
                <w:lang w:val="vi-VN"/>
              </w:rPr>
            </w:pPr>
            <w:r w:rsidRPr="00215EC2">
              <w:rPr>
                <w:bCs/>
                <w:sz w:val="26"/>
                <w:szCs w:val="26"/>
                <w:lang w:val="nl-NL"/>
              </w:rPr>
              <w:t>Chấp thuận chủ trương đầu tư dự án xây dựng nhà ở thuộc thẩm quyền của UBND cấp tỉnh quy định tại Khoản 5 Điều 9 của Nghị định 99/2015/NĐ-CP</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6850C5">
              <w:rPr>
                <w:color w:val="000000"/>
                <w:sz w:val="26"/>
                <w:szCs w:val="26"/>
                <w:lang w:val="vi-VN"/>
              </w:rPr>
              <w:t>QT-QLN-01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rPr>
            </w:pPr>
            <w:r w:rsidRPr="00215EC2">
              <w:rPr>
                <w:bCs/>
                <w:sz w:val="26"/>
                <w:szCs w:val="26"/>
                <w:lang w:val="nl-NL"/>
              </w:rPr>
              <w:t>Chấp thuận chủ trương đầu tư dự án xây dựng nhà ở thuộc thẩm quyền của UBND cấp tỉnh quy định tại Khoản 6 Điều 9 của Nghị định 99/2015/NĐ-CP</w:t>
            </w:r>
          </w:p>
        </w:tc>
        <w:tc>
          <w:tcPr>
            <w:tcW w:w="2142" w:type="dxa"/>
            <w:shd w:val="clear" w:color="auto" w:fill="auto"/>
            <w:vAlign w:val="center"/>
          </w:tcPr>
          <w:p w:rsidR="008626EC" w:rsidRPr="006850C5" w:rsidRDefault="008626EC" w:rsidP="005E0E8E">
            <w:pPr>
              <w:spacing w:before="20" w:after="20"/>
              <w:jc w:val="center"/>
              <w:rPr>
                <w:color w:val="000000"/>
                <w:sz w:val="26"/>
                <w:szCs w:val="26"/>
              </w:rPr>
            </w:pPr>
            <w:r w:rsidRPr="007D188A">
              <w:rPr>
                <w:color w:val="000000"/>
                <w:sz w:val="26"/>
                <w:szCs w:val="26"/>
                <w:lang w:val="vi-VN"/>
              </w:rPr>
              <w:t>QT-QLN-0</w:t>
            </w:r>
            <w:r>
              <w:rPr>
                <w:color w:val="000000"/>
                <w:sz w:val="26"/>
                <w:szCs w:val="26"/>
                <w:lang w:val="vi-VN"/>
              </w:rPr>
              <w:t>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215EC2">
              <w:rPr>
                <w:bCs/>
                <w:sz w:val="26"/>
                <w:szCs w:val="26"/>
                <w:lang w:val="nl-NL"/>
              </w:rPr>
              <w:t>Thẩm định giá bán, thuê mua, thuê nhà ở xã hội được đầu tư xây dựng theo dự án bằng nguồn vốn ngoài ngân sách nhà nước trên phạm vi địa bàn tỉnh</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QT-QLN-0</w:t>
            </w:r>
            <w:r>
              <w:rPr>
                <w:color w:val="000000"/>
                <w:sz w:val="26"/>
                <w:szCs w:val="26"/>
                <w:lang w:val="vi-VN"/>
              </w:rPr>
              <w:t>3</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215EC2">
              <w:rPr>
                <w:bCs/>
                <w:sz w:val="26"/>
                <w:szCs w:val="26"/>
                <w:lang w:val="nl-NL"/>
              </w:rPr>
              <w:t>Lựa chọn chủ đầu tư dự án xây dựng nhà ở thương mại đối với trường hợp chỉ định chủ đầu tư  theo Khoản 2 Điều 18 Nghị định số 99/2015/NĐ-CP</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QT-QLN-0</w:t>
            </w:r>
            <w:r>
              <w:rPr>
                <w:color w:val="000000"/>
                <w:sz w:val="26"/>
                <w:szCs w:val="26"/>
                <w:lang w:val="vi-VN"/>
              </w:rPr>
              <w:t>4</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tcPr>
          <w:p w:rsidR="008626EC" w:rsidRPr="006850C5" w:rsidRDefault="008626EC" w:rsidP="005E0E8E">
            <w:pPr>
              <w:spacing w:before="120"/>
              <w:ind w:left="89"/>
              <w:jc w:val="both"/>
              <w:rPr>
                <w:color w:val="000000"/>
                <w:sz w:val="26"/>
                <w:szCs w:val="26"/>
                <w:lang w:val="vi-VN"/>
              </w:rPr>
            </w:pPr>
            <w:r w:rsidRPr="00215EC2">
              <w:rPr>
                <w:bCs/>
                <w:sz w:val="26"/>
                <w:szCs w:val="26"/>
                <w:lang w:val="nl-NL"/>
              </w:rPr>
              <w:t>Thông báo nhà ở hình thành trong tương lai đủ điều kiện được bán, cho thuê mua</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QT-QLN-0</w:t>
            </w:r>
            <w:r>
              <w:rPr>
                <w:color w:val="000000"/>
                <w:sz w:val="26"/>
                <w:szCs w:val="26"/>
                <w:lang w:val="vi-VN"/>
              </w:rPr>
              <w:t>5</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215EC2" w:rsidTr="005E0E8E">
        <w:trPr>
          <w:trHeight w:val="445"/>
        </w:trPr>
        <w:tc>
          <w:tcPr>
            <w:tcW w:w="851" w:type="dxa"/>
            <w:vAlign w:val="center"/>
          </w:tcPr>
          <w:p w:rsidR="008626EC" w:rsidRPr="006850C5" w:rsidRDefault="008626EC" w:rsidP="005E0E8E">
            <w:pPr>
              <w:spacing w:before="20" w:after="20"/>
              <w:ind w:left="360"/>
              <w:jc w:val="center"/>
              <w:rPr>
                <w:b/>
                <w:bCs/>
                <w:color w:val="000000"/>
                <w:sz w:val="26"/>
                <w:szCs w:val="26"/>
                <w:lang w:val="vi-VN"/>
              </w:rPr>
            </w:pPr>
            <w:r w:rsidRPr="006850C5">
              <w:rPr>
                <w:b/>
                <w:bCs/>
                <w:color w:val="000000"/>
                <w:sz w:val="26"/>
                <w:szCs w:val="26"/>
                <w:lang w:val="vi-VN"/>
              </w:rPr>
              <w:t>V</w:t>
            </w:r>
          </w:p>
        </w:tc>
        <w:tc>
          <w:tcPr>
            <w:tcW w:w="5513" w:type="dxa"/>
            <w:vAlign w:val="center"/>
          </w:tcPr>
          <w:p w:rsidR="008626EC" w:rsidRPr="006850C5" w:rsidRDefault="008626EC" w:rsidP="005E0E8E">
            <w:pPr>
              <w:spacing w:before="120"/>
              <w:ind w:left="89"/>
              <w:jc w:val="both"/>
              <w:rPr>
                <w:b/>
                <w:bCs/>
                <w:color w:val="000000"/>
                <w:sz w:val="26"/>
                <w:szCs w:val="26"/>
                <w:lang w:val="vi-VN"/>
              </w:rPr>
            </w:pPr>
            <w:r w:rsidRPr="006850C5">
              <w:rPr>
                <w:b/>
                <w:bCs/>
                <w:color w:val="000000"/>
                <w:sz w:val="26"/>
                <w:szCs w:val="26"/>
                <w:lang w:val="vi-VN"/>
              </w:rPr>
              <w:t>Kinh doanh bất động sản</w:t>
            </w:r>
          </w:p>
        </w:tc>
        <w:tc>
          <w:tcPr>
            <w:tcW w:w="2142" w:type="dxa"/>
            <w:shd w:val="clear" w:color="auto" w:fill="auto"/>
            <w:vAlign w:val="center"/>
          </w:tcPr>
          <w:p w:rsidR="008626EC" w:rsidRPr="006850C5" w:rsidRDefault="008626EC" w:rsidP="005E0E8E">
            <w:pPr>
              <w:spacing w:before="20" w:after="20"/>
              <w:jc w:val="center"/>
              <w:rPr>
                <w:b/>
                <w:bCs/>
                <w:color w:val="000000"/>
                <w:sz w:val="26"/>
                <w:szCs w:val="26"/>
              </w:rPr>
            </w:pPr>
          </w:p>
        </w:tc>
        <w:tc>
          <w:tcPr>
            <w:tcW w:w="1417" w:type="dxa"/>
            <w:shd w:val="clear" w:color="auto" w:fill="auto"/>
            <w:vAlign w:val="center"/>
          </w:tcPr>
          <w:p w:rsidR="008626EC" w:rsidRPr="006850C5" w:rsidRDefault="008626EC" w:rsidP="005E0E8E">
            <w:pPr>
              <w:spacing w:before="20" w:after="20"/>
              <w:jc w:val="center"/>
              <w:rPr>
                <w:b/>
                <w:bCs/>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6850C5" w:rsidRDefault="008626EC" w:rsidP="005E0E8E">
            <w:pPr>
              <w:spacing w:before="120"/>
              <w:ind w:left="89"/>
              <w:jc w:val="both"/>
              <w:rPr>
                <w:color w:val="000000"/>
                <w:sz w:val="26"/>
                <w:szCs w:val="26"/>
                <w:lang w:val="vi-VN"/>
              </w:rPr>
            </w:pPr>
            <w:r w:rsidRPr="00215EC2">
              <w:rPr>
                <w:sz w:val="26"/>
                <w:szCs w:val="26"/>
              </w:rPr>
              <w:t>Chuyển nhượng toàn bộ hoặc một phần dự án bất động sản do UBND cấp tỉnh, cấp huyện quyết định đầu tư.</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w:t>
            </w:r>
            <w:r>
              <w:rPr>
                <w:color w:val="000000"/>
                <w:sz w:val="26"/>
                <w:szCs w:val="26"/>
                <w:lang w:val="vi-VN"/>
              </w:rPr>
              <w:t>KDBĐS</w:t>
            </w:r>
            <w:r w:rsidRPr="007D188A">
              <w:rPr>
                <w:color w:val="000000"/>
                <w:sz w:val="26"/>
                <w:szCs w:val="26"/>
                <w:lang w:val="vi-VN"/>
              </w:rPr>
              <w:t>-01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6850C5" w:rsidRDefault="008626EC" w:rsidP="005E0E8E">
            <w:pPr>
              <w:spacing w:before="120"/>
              <w:ind w:left="89"/>
              <w:jc w:val="both"/>
              <w:rPr>
                <w:color w:val="000000"/>
                <w:sz w:val="26"/>
                <w:szCs w:val="26"/>
                <w:lang w:val="vi-VN"/>
              </w:rPr>
            </w:pPr>
            <w:r w:rsidRPr="00215EC2">
              <w:rPr>
                <w:sz w:val="26"/>
                <w:szCs w:val="26"/>
              </w:rPr>
              <w:t xml:space="preserve">Cấp </w:t>
            </w:r>
            <w:r w:rsidRPr="00215EC2">
              <w:rPr>
                <w:sz w:val="26"/>
                <w:szCs w:val="26"/>
                <w:lang w:val="vi-VN"/>
              </w:rPr>
              <w:t xml:space="preserve">mới </w:t>
            </w:r>
            <w:r w:rsidRPr="00215EC2">
              <w:rPr>
                <w:sz w:val="26"/>
                <w:szCs w:val="26"/>
              </w:rPr>
              <w:t xml:space="preserve">chứng chỉ môi giới </w:t>
            </w:r>
            <w:r w:rsidRPr="00215EC2">
              <w:rPr>
                <w:sz w:val="26"/>
                <w:szCs w:val="26"/>
                <w:lang w:val="vi-VN"/>
              </w:rPr>
              <w:t>bất động sản</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w:t>
            </w:r>
            <w:r>
              <w:rPr>
                <w:color w:val="000000"/>
                <w:sz w:val="26"/>
                <w:szCs w:val="26"/>
                <w:lang w:val="vi-VN"/>
              </w:rPr>
              <w:t>KDBĐS</w:t>
            </w:r>
            <w:r w:rsidRPr="007D188A">
              <w:rPr>
                <w:color w:val="000000"/>
                <w:sz w:val="26"/>
                <w:szCs w:val="26"/>
                <w:lang w:val="vi-VN"/>
              </w:rPr>
              <w:t>-0</w:t>
            </w:r>
            <w:r>
              <w:rPr>
                <w:color w:val="000000"/>
                <w:sz w:val="26"/>
                <w:szCs w:val="26"/>
                <w:lang w:val="vi-VN"/>
              </w:rPr>
              <w:t>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215EC2" w:rsidRDefault="008626EC" w:rsidP="005E0E8E">
            <w:pPr>
              <w:jc w:val="both"/>
              <w:rPr>
                <w:sz w:val="26"/>
                <w:szCs w:val="26"/>
              </w:rPr>
            </w:pPr>
          </w:p>
          <w:p w:rsidR="008626EC" w:rsidRPr="006850C5" w:rsidRDefault="008626EC" w:rsidP="005E0E8E">
            <w:pPr>
              <w:spacing w:before="120"/>
              <w:ind w:left="89"/>
              <w:jc w:val="both"/>
              <w:rPr>
                <w:color w:val="000000"/>
                <w:sz w:val="26"/>
                <w:szCs w:val="26"/>
                <w:lang w:val="vi-VN"/>
              </w:rPr>
            </w:pPr>
            <w:r w:rsidRPr="00215EC2">
              <w:rPr>
                <w:sz w:val="26"/>
                <w:szCs w:val="26"/>
                <w:lang w:val="vi-VN"/>
              </w:rPr>
              <w:t>Cấp lại chứng chỉ môi giới bất động sản</w:t>
            </w:r>
            <w:r w:rsidRPr="00215EC2">
              <w:rPr>
                <w:sz w:val="26"/>
                <w:szCs w:val="26"/>
              </w:rPr>
              <w:t xml:space="preserve"> d</w:t>
            </w:r>
            <w:r w:rsidRPr="00215EC2">
              <w:rPr>
                <w:sz w:val="26"/>
                <w:szCs w:val="26"/>
                <w:lang w:val="vi-VN"/>
              </w:rPr>
              <w:t>o bị mất, bị rách, bị cháy,</w:t>
            </w:r>
            <w:r w:rsidRPr="00215EC2">
              <w:rPr>
                <w:sz w:val="26"/>
                <w:szCs w:val="26"/>
              </w:rPr>
              <w:t xml:space="preserve"> </w:t>
            </w:r>
            <w:r w:rsidRPr="00215EC2">
              <w:rPr>
                <w:sz w:val="26"/>
                <w:szCs w:val="26"/>
                <w:lang w:val="vi-VN"/>
              </w:rPr>
              <w:t>bị hủy hoại do thiên tai hoặc lý do bất khả kháng</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w:t>
            </w:r>
            <w:r>
              <w:rPr>
                <w:color w:val="000000"/>
                <w:sz w:val="26"/>
                <w:szCs w:val="26"/>
                <w:lang w:val="vi-VN"/>
              </w:rPr>
              <w:t>KDBĐS</w:t>
            </w:r>
            <w:r w:rsidRPr="007D188A">
              <w:rPr>
                <w:color w:val="000000"/>
                <w:sz w:val="26"/>
                <w:szCs w:val="26"/>
                <w:lang w:val="vi-VN"/>
              </w:rPr>
              <w:t>-0</w:t>
            </w:r>
            <w:r>
              <w:rPr>
                <w:color w:val="000000"/>
                <w:sz w:val="26"/>
                <w:szCs w:val="26"/>
                <w:lang w:val="vi-VN"/>
              </w:rPr>
              <w:t>3</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6850C5" w:rsidRDefault="008626EC" w:rsidP="005E0E8E">
            <w:pPr>
              <w:spacing w:before="120"/>
              <w:ind w:left="89"/>
              <w:jc w:val="both"/>
              <w:rPr>
                <w:color w:val="000000"/>
                <w:sz w:val="26"/>
                <w:szCs w:val="26"/>
                <w:lang w:val="vi-VN"/>
              </w:rPr>
            </w:pPr>
            <w:r w:rsidRPr="00215EC2">
              <w:rPr>
                <w:sz w:val="26"/>
                <w:szCs w:val="26"/>
                <w:lang w:val="vi-VN"/>
              </w:rPr>
              <w:t>Cấp lại chứng chỉ môi giới bất động sản</w:t>
            </w:r>
            <w:r w:rsidRPr="00215EC2">
              <w:rPr>
                <w:sz w:val="26"/>
                <w:szCs w:val="26"/>
              </w:rPr>
              <w:t xml:space="preserve"> d</w:t>
            </w:r>
            <w:r w:rsidRPr="00215EC2">
              <w:rPr>
                <w:sz w:val="26"/>
                <w:szCs w:val="26"/>
                <w:lang w:val="vi-VN"/>
              </w:rPr>
              <w:t>o</w:t>
            </w:r>
            <w:r w:rsidRPr="00215EC2">
              <w:rPr>
                <w:sz w:val="26"/>
                <w:szCs w:val="26"/>
              </w:rPr>
              <w:t xml:space="preserve"> </w:t>
            </w:r>
            <w:r w:rsidRPr="00215EC2">
              <w:rPr>
                <w:sz w:val="26"/>
                <w:szCs w:val="26"/>
                <w:lang w:val="vi-VN"/>
              </w:rPr>
              <w:t>hết hạn (hoặc gần hết hạn)</w:t>
            </w:r>
          </w:p>
        </w:tc>
        <w:tc>
          <w:tcPr>
            <w:tcW w:w="2142" w:type="dxa"/>
            <w:shd w:val="clear" w:color="auto" w:fill="auto"/>
            <w:vAlign w:val="center"/>
          </w:tcPr>
          <w:p w:rsidR="008626EC" w:rsidRPr="006850C5" w:rsidRDefault="008626EC" w:rsidP="005E0E8E">
            <w:pPr>
              <w:spacing w:before="20" w:after="20"/>
              <w:jc w:val="center"/>
              <w:rPr>
                <w:color w:val="000000"/>
                <w:sz w:val="26"/>
                <w:szCs w:val="26"/>
                <w:lang w:val="vi-VN"/>
              </w:rPr>
            </w:pPr>
            <w:r w:rsidRPr="007D188A">
              <w:rPr>
                <w:color w:val="000000"/>
                <w:sz w:val="26"/>
                <w:szCs w:val="26"/>
                <w:lang w:val="vi-VN"/>
              </w:rPr>
              <w:t>QT-</w:t>
            </w:r>
            <w:r>
              <w:rPr>
                <w:color w:val="000000"/>
                <w:sz w:val="26"/>
                <w:szCs w:val="26"/>
                <w:lang w:val="vi-VN"/>
              </w:rPr>
              <w:t>KDBĐS</w:t>
            </w:r>
            <w:r w:rsidRPr="007D188A">
              <w:rPr>
                <w:color w:val="000000"/>
                <w:sz w:val="26"/>
                <w:szCs w:val="26"/>
                <w:lang w:val="vi-VN"/>
              </w:rPr>
              <w:t>-0</w:t>
            </w:r>
            <w:r>
              <w:rPr>
                <w:color w:val="000000"/>
                <w:sz w:val="26"/>
                <w:szCs w:val="26"/>
                <w:lang w:val="vi-VN"/>
              </w:rPr>
              <w:t>4</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A30FFE" w:rsidTr="005E0E8E">
        <w:trPr>
          <w:trHeight w:val="445"/>
        </w:trPr>
        <w:tc>
          <w:tcPr>
            <w:tcW w:w="851" w:type="dxa"/>
            <w:vAlign w:val="center"/>
          </w:tcPr>
          <w:p w:rsidR="008626EC" w:rsidRPr="00A30FFE" w:rsidRDefault="008626EC" w:rsidP="005E0E8E">
            <w:pPr>
              <w:spacing w:before="20" w:after="20"/>
              <w:jc w:val="center"/>
              <w:rPr>
                <w:b/>
                <w:bCs/>
                <w:color w:val="000000"/>
                <w:sz w:val="26"/>
                <w:szCs w:val="26"/>
                <w:lang w:val="vi-VN"/>
              </w:rPr>
            </w:pPr>
            <w:r w:rsidRPr="00A30FFE">
              <w:rPr>
                <w:b/>
                <w:bCs/>
                <w:color w:val="000000"/>
                <w:sz w:val="26"/>
                <w:szCs w:val="26"/>
                <w:lang w:val="vi-VN"/>
              </w:rPr>
              <w:t>VI</w:t>
            </w:r>
          </w:p>
        </w:tc>
        <w:tc>
          <w:tcPr>
            <w:tcW w:w="5513" w:type="dxa"/>
            <w:vAlign w:val="center"/>
          </w:tcPr>
          <w:p w:rsidR="008626EC" w:rsidRPr="00A30FFE" w:rsidRDefault="008626EC" w:rsidP="005E0E8E">
            <w:pPr>
              <w:spacing w:before="120"/>
              <w:ind w:left="89"/>
              <w:jc w:val="both"/>
              <w:rPr>
                <w:b/>
                <w:bCs/>
                <w:sz w:val="26"/>
                <w:szCs w:val="26"/>
                <w:lang w:val="vi-VN"/>
              </w:rPr>
            </w:pPr>
            <w:r w:rsidRPr="00A30FFE">
              <w:rPr>
                <w:b/>
                <w:bCs/>
                <w:sz w:val="26"/>
                <w:szCs w:val="26"/>
                <w:lang w:val="vi-VN"/>
              </w:rPr>
              <w:t>Thanh tra</w:t>
            </w:r>
          </w:p>
        </w:tc>
        <w:tc>
          <w:tcPr>
            <w:tcW w:w="2142" w:type="dxa"/>
            <w:shd w:val="clear" w:color="auto" w:fill="auto"/>
            <w:vAlign w:val="center"/>
          </w:tcPr>
          <w:p w:rsidR="008626EC" w:rsidRPr="00A30FFE" w:rsidRDefault="008626EC" w:rsidP="005E0E8E">
            <w:pPr>
              <w:spacing w:before="20" w:after="20"/>
              <w:jc w:val="center"/>
              <w:rPr>
                <w:b/>
                <w:bCs/>
                <w:color w:val="000000"/>
                <w:sz w:val="26"/>
                <w:szCs w:val="26"/>
                <w:lang w:val="vi-VN"/>
              </w:rPr>
            </w:pPr>
          </w:p>
        </w:tc>
        <w:tc>
          <w:tcPr>
            <w:tcW w:w="1417" w:type="dxa"/>
            <w:shd w:val="clear" w:color="auto" w:fill="auto"/>
            <w:vAlign w:val="center"/>
          </w:tcPr>
          <w:p w:rsidR="008626EC" w:rsidRPr="00A30FFE" w:rsidRDefault="008626EC" w:rsidP="005E0E8E">
            <w:pPr>
              <w:spacing w:before="20" w:after="20"/>
              <w:jc w:val="center"/>
              <w:rPr>
                <w:b/>
                <w:bCs/>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215EC2" w:rsidRDefault="008626EC" w:rsidP="005E0E8E">
            <w:pPr>
              <w:spacing w:before="120"/>
              <w:ind w:left="89"/>
              <w:jc w:val="both"/>
              <w:rPr>
                <w:sz w:val="26"/>
                <w:szCs w:val="26"/>
                <w:lang w:val="vi-VN"/>
              </w:rPr>
            </w:pPr>
            <w:r w:rsidRPr="00E93978">
              <w:rPr>
                <w:sz w:val="26"/>
                <w:szCs w:val="26"/>
              </w:rPr>
              <w:t>Quy trình thanh tra</w:t>
            </w:r>
            <w:r>
              <w:rPr>
                <w:sz w:val="26"/>
                <w:szCs w:val="26"/>
                <w:lang w:val="vi-VN"/>
              </w:rPr>
              <w:t xml:space="preserve"> hành chính và thanh tra chuyên ngành</w:t>
            </w:r>
          </w:p>
        </w:tc>
        <w:tc>
          <w:tcPr>
            <w:tcW w:w="2142" w:type="dxa"/>
            <w:shd w:val="clear" w:color="auto" w:fill="auto"/>
          </w:tcPr>
          <w:p w:rsidR="008626EC" w:rsidRPr="007D188A" w:rsidRDefault="008626EC" w:rsidP="005E0E8E">
            <w:pPr>
              <w:spacing w:before="20" w:after="20"/>
              <w:jc w:val="center"/>
              <w:rPr>
                <w:color w:val="000000"/>
                <w:sz w:val="26"/>
                <w:szCs w:val="26"/>
                <w:lang w:val="vi-VN"/>
              </w:rPr>
            </w:pPr>
            <w:r w:rsidRPr="00E93978">
              <w:rPr>
                <w:sz w:val="26"/>
                <w:szCs w:val="26"/>
              </w:rPr>
              <w:t>QT-</w:t>
            </w:r>
            <w:r>
              <w:rPr>
                <w:sz w:val="26"/>
                <w:szCs w:val="26"/>
              </w:rPr>
              <w:t>TTr</w:t>
            </w:r>
            <w:r>
              <w:rPr>
                <w:sz w:val="26"/>
                <w:szCs w:val="26"/>
                <w:lang w:val="vi-VN"/>
              </w:rPr>
              <w:t>-</w:t>
            </w:r>
            <w:r w:rsidRPr="00E93978">
              <w:rPr>
                <w:sz w:val="26"/>
                <w:szCs w:val="26"/>
              </w:rPr>
              <w:t>01</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215EC2" w:rsidRDefault="008626EC" w:rsidP="005E0E8E">
            <w:pPr>
              <w:spacing w:before="120"/>
              <w:ind w:left="89"/>
              <w:jc w:val="both"/>
              <w:rPr>
                <w:sz w:val="26"/>
                <w:szCs w:val="26"/>
                <w:lang w:val="vi-VN"/>
              </w:rPr>
            </w:pPr>
            <w:r w:rsidRPr="00E93978">
              <w:rPr>
                <w:sz w:val="26"/>
                <w:szCs w:val="26"/>
              </w:rPr>
              <w:t>Quy trình</w:t>
            </w:r>
            <w:r>
              <w:rPr>
                <w:sz w:val="26"/>
                <w:szCs w:val="26"/>
                <w:lang w:val="vi-VN"/>
              </w:rPr>
              <w:t xml:space="preserve"> tiếp nhận giải quyết và giải quyết đơn thư</w:t>
            </w:r>
            <w:r w:rsidRPr="00E93978">
              <w:rPr>
                <w:sz w:val="26"/>
                <w:szCs w:val="26"/>
              </w:rPr>
              <w:t xml:space="preserve"> giải khiếu nại</w:t>
            </w:r>
          </w:p>
        </w:tc>
        <w:tc>
          <w:tcPr>
            <w:tcW w:w="2142" w:type="dxa"/>
            <w:shd w:val="clear" w:color="auto" w:fill="auto"/>
          </w:tcPr>
          <w:p w:rsidR="008626EC" w:rsidRPr="007D188A" w:rsidRDefault="008626EC" w:rsidP="005E0E8E">
            <w:pPr>
              <w:spacing w:before="20" w:after="20"/>
              <w:jc w:val="center"/>
              <w:rPr>
                <w:color w:val="000000"/>
                <w:sz w:val="26"/>
                <w:szCs w:val="26"/>
                <w:lang w:val="vi-VN"/>
              </w:rPr>
            </w:pPr>
            <w:r w:rsidRPr="00E93978">
              <w:rPr>
                <w:sz w:val="26"/>
                <w:szCs w:val="26"/>
              </w:rPr>
              <w:t>QT-</w:t>
            </w:r>
            <w:r>
              <w:rPr>
                <w:sz w:val="26"/>
                <w:szCs w:val="26"/>
              </w:rPr>
              <w:t>TTr</w:t>
            </w:r>
            <w:r>
              <w:rPr>
                <w:sz w:val="26"/>
                <w:szCs w:val="26"/>
                <w:lang w:val="vi-VN"/>
              </w:rPr>
              <w:t>-</w:t>
            </w:r>
            <w:r w:rsidRPr="00E93978">
              <w:rPr>
                <w:sz w:val="26"/>
                <w:szCs w:val="26"/>
              </w:rPr>
              <w:t>02</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215EC2" w:rsidRDefault="008626EC" w:rsidP="005E0E8E">
            <w:pPr>
              <w:spacing w:before="120"/>
              <w:ind w:left="89"/>
              <w:jc w:val="both"/>
              <w:rPr>
                <w:sz w:val="26"/>
                <w:szCs w:val="26"/>
                <w:lang w:val="vi-VN"/>
              </w:rPr>
            </w:pPr>
            <w:r w:rsidRPr="00E93978">
              <w:rPr>
                <w:sz w:val="26"/>
                <w:szCs w:val="26"/>
              </w:rPr>
              <w:t xml:space="preserve">Quy trình </w:t>
            </w:r>
            <w:r>
              <w:rPr>
                <w:sz w:val="26"/>
                <w:szCs w:val="26"/>
              </w:rPr>
              <w:t>tiếp</w:t>
            </w:r>
            <w:r>
              <w:rPr>
                <w:sz w:val="26"/>
                <w:szCs w:val="26"/>
                <w:lang w:val="vi-VN"/>
              </w:rPr>
              <w:t xml:space="preserve"> nhận và </w:t>
            </w:r>
            <w:r w:rsidRPr="00E93978">
              <w:rPr>
                <w:sz w:val="26"/>
                <w:szCs w:val="26"/>
              </w:rPr>
              <w:t>giải quyết tố cáo</w:t>
            </w:r>
          </w:p>
        </w:tc>
        <w:tc>
          <w:tcPr>
            <w:tcW w:w="2142" w:type="dxa"/>
            <w:shd w:val="clear" w:color="auto" w:fill="auto"/>
          </w:tcPr>
          <w:p w:rsidR="008626EC" w:rsidRPr="007D188A" w:rsidRDefault="008626EC" w:rsidP="005E0E8E">
            <w:pPr>
              <w:spacing w:before="20" w:after="20"/>
              <w:jc w:val="center"/>
              <w:rPr>
                <w:color w:val="000000"/>
                <w:sz w:val="26"/>
                <w:szCs w:val="26"/>
                <w:lang w:val="vi-VN"/>
              </w:rPr>
            </w:pPr>
            <w:r w:rsidRPr="00E93978">
              <w:rPr>
                <w:sz w:val="26"/>
                <w:szCs w:val="26"/>
              </w:rPr>
              <w:t>QT-</w:t>
            </w:r>
            <w:r>
              <w:rPr>
                <w:sz w:val="26"/>
                <w:szCs w:val="26"/>
              </w:rPr>
              <w:t>TTr</w:t>
            </w:r>
            <w:r>
              <w:rPr>
                <w:sz w:val="26"/>
                <w:szCs w:val="26"/>
                <w:lang w:val="vi-VN"/>
              </w:rPr>
              <w:t>-</w:t>
            </w:r>
            <w:r w:rsidRPr="00E93978">
              <w:rPr>
                <w:sz w:val="26"/>
                <w:szCs w:val="26"/>
              </w:rPr>
              <w:t>03</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r w:rsidR="008626EC" w:rsidRPr="00747321" w:rsidTr="005E0E8E">
        <w:trPr>
          <w:trHeight w:val="445"/>
        </w:trPr>
        <w:tc>
          <w:tcPr>
            <w:tcW w:w="851" w:type="dxa"/>
            <w:vAlign w:val="center"/>
          </w:tcPr>
          <w:p w:rsidR="008626EC" w:rsidRPr="006850C5" w:rsidRDefault="008626EC" w:rsidP="005E0E8E">
            <w:pPr>
              <w:numPr>
                <w:ilvl w:val="0"/>
                <w:numId w:val="2"/>
              </w:numPr>
              <w:spacing w:before="20" w:after="20"/>
              <w:jc w:val="center"/>
              <w:rPr>
                <w:color w:val="000000"/>
                <w:sz w:val="26"/>
                <w:szCs w:val="26"/>
              </w:rPr>
            </w:pPr>
          </w:p>
        </w:tc>
        <w:tc>
          <w:tcPr>
            <w:tcW w:w="5513" w:type="dxa"/>
            <w:vAlign w:val="center"/>
          </w:tcPr>
          <w:p w:rsidR="008626EC" w:rsidRPr="00E93978" w:rsidRDefault="008626EC" w:rsidP="005E0E8E">
            <w:pPr>
              <w:spacing w:before="120"/>
              <w:ind w:left="89"/>
              <w:jc w:val="both"/>
              <w:rPr>
                <w:sz w:val="26"/>
                <w:szCs w:val="26"/>
              </w:rPr>
            </w:pPr>
            <w:r>
              <w:rPr>
                <w:sz w:val="26"/>
                <w:szCs w:val="26"/>
                <w:lang w:val="vi-VN"/>
              </w:rPr>
              <w:t>Quy trình tiếp công dân</w:t>
            </w:r>
          </w:p>
        </w:tc>
        <w:tc>
          <w:tcPr>
            <w:tcW w:w="2142" w:type="dxa"/>
            <w:shd w:val="clear" w:color="auto" w:fill="auto"/>
          </w:tcPr>
          <w:p w:rsidR="008626EC" w:rsidRPr="00E93978" w:rsidRDefault="008626EC" w:rsidP="005E0E8E">
            <w:pPr>
              <w:spacing w:before="20" w:after="20"/>
              <w:jc w:val="center"/>
              <w:rPr>
                <w:sz w:val="26"/>
                <w:szCs w:val="26"/>
              </w:rPr>
            </w:pPr>
            <w:r>
              <w:rPr>
                <w:sz w:val="26"/>
                <w:szCs w:val="26"/>
                <w:lang w:val="vi-VN"/>
              </w:rPr>
              <w:t>QT-TTr-04</w:t>
            </w:r>
          </w:p>
        </w:tc>
        <w:tc>
          <w:tcPr>
            <w:tcW w:w="1417" w:type="dxa"/>
            <w:shd w:val="clear" w:color="auto" w:fill="auto"/>
            <w:vAlign w:val="center"/>
          </w:tcPr>
          <w:p w:rsidR="008626EC" w:rsidRPr="006850C5" w:rsidRDefault="008626EC" w:rsidP="005E0E8E">
            <w:pPr>
              <w:spacing w:before="20" w:after="20"/>
              <w:jc w:val="center"/>
              <w:rPr>
                <w:color w:val="000000"/>
                <w:sz w:val="26"/>
                <w:szCs w:val="26"/>
              </w:rPr>
            </w:pPr>
          </w:p>
        </w:tc>
      </w:tr>
    </w:tbl>
    <w:p w:rsidR="008626EC" w:rsidRDefault="008626EC" w:rsidP="008626EC">
      <w:pPr>
        <w:keepNext/>
        <w:tabs>
          <w:tab w:val="left" w:pos="3450"/>
        </w:tabs>
        <w:rPr>
          <w:lang w:val="nl-NL"/>
        </w:rPr>
      </w:pPr>
    </w:p>
    <w:p w:rsidR="00A229B5" w:rsidRDefault="00DF1E77" w:rsidP="008626EC"/>
    <w:sectPr w:rsidR="00A2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3E19"/>
    <w:multiLevelType w:val="hybridMultilevel"/>
    <w:tmpl w:val="727E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85DD4"/>
    <w:multiLevelType w:val="hybridMultilevel"/>
    <w:tmpl w:val="CEAE863A"/>
    <w:lvl w:ilvl="0" w:tplc="2520B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EC"/>
    <w:rsid w:val="006C46DF"/>
    <w:rsid w:val="008626EC"/>
    <w:rsid w:val="00B45D9F"/>
    <w:rsid w:val="00DF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E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77"/>
    <w:rPr>
      <w:rFonts w:ascii="Tahoma" w:hAnsi="Tahoma" w:cs="Tahoma"/>
      <w:sz w:val="16"/>
      <w:szCs w:val="16"/>
    </w:rPr>
  </w:style>
  <w:style w:type="character" w:customStyle="1" w:styleId="BalloonTextChar">
    <w:name w:val="Balloon Text Char"/>
    <w:basedOn w:val="DefaultParagraphFont"/>
    <w:link w:val="BalloonText"/>
    <w:uiPriority w:val="99"/>
    <w:semiHidden/>
    <w:rsid w:val="00DF1E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E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77"/>
    <w:rPr>
      <w:rFonts w:ascii="Tahoma" w:hAnsi="Tahoma" w:cs="Tahoma"/>
      <w:sz w:val="16"/>
      <w:szCs w:val="16"/>
    </w:rPr>
  </w:style>
  <w:style w:type="character" w:customStyle="1" w:styleId="BalloonTextChar">
    <w:name w:val="Balloon Text Char"/>
    <w:basedOn w:val="DefaultParagraphFont"/>
    <w:link w:val="BalloonText"/>
    <w:uiPriority w:val="99"/>
    <w:semiHidden/>
    <w:rsid w:val="00DF1E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2020-12-21T03:05:00Z</cp:lastPrinted>
  <dcterms:created xsi:type="dcterms:W3CDTF">2020-12-21T02:45:00Z</dcterms:created>
  <dcterms:modified xsi:type="dcterms:W3CDTF">2020-12-23T11:36:00Z</dcterms:modified>
</cp:coreProperties>
</file>