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1B" w:rsidRPr="001D441B" w:rsidRDefault="001D441B" w:rsidP="001D441B">
      <w:pPr>
        <w:rPr>
          <w:rFonts w:eastAsia="Calibri"/>
          <w:b/>
          <w:sz w:val="28"/>
          <w:szCs w:val="28"/>
        </w:rPr>
      </w:pPr>
      <w:r w:rsidRPr="001D441B">
        <w:rPr>
          <w:rFonts w:eastAsia="Calibri"/>
          <w:b/>
          <w:sz w:val="28"/>
          <w:szCs w:val="28"/>
        </w:rPr>
        <w:t>TRƯỜNG THCS NGUYỄN TRÃI</w:t>
      </w:r>
    </w:p>
    <w:p w:rsidR="001D441B" w:rsidRPr="001D441B" w:rsidRDefault="001D441B" w:rsidP="001D441B">
      <w:pPr>
        <w:rPr>
          <w:rFonts w:eastAsia="Calibri"/>
          <w:b/>
          <w:sz w:val="28"/>
          <w:szCs w:val="28"/>
        </w:rPr>
      </w:pPr>
    </w:p>
    <w:p w:rsidR="001D441B" w:rsidRPr="001D441B" w:rsidRDefault="001D441B" w:rsidP="001D441B">
      <w:pPr>
        <w:jc w:val="center"/>
        <w:rPr>
          <w:rFonts w:eastAsia="Calibri"/>
          <w:b/>
          <w:sz w:val="28"/>
          <w:szCs w:val="28"/>
        </w:rPr>
      </w:pPr>
      <w:r w:rsidRPr="001D441B">
        <w:rPr>
          <w:rFonts w:eastAsia="Calibri"/>
          <w:b/>
          <w:sz w:val="28"/>
          <w:szCs w:val="28"/>
        </w:rPr>
        <w:t xml:space="preserve">MA TRẬN ĐỀ KIỂM TRA HỌC KỲ </w:t>
      </w:r>
      <w:r w:rsidRPr="001D441B">
        <w:rPr>
          <w:rFonts w:eastAsia="Calibri"/>
          <w:b/>
          <w:sz w:val="28"/>
          <w:szCs w:val="28"/>
          <w:lang w:val="vi-VN"/>
        </w:rPr>
        <w:t>I</w:t>
      </w:r>
      <w:r w:rsidRPr="001D441B">
        <w:rPr>
          <w:rFonts w:eastAsia="Calibri"/>
          <w:b/>
          <w:sz w:val="28"/>
          <w:szCs w:val="28"/>
        </w:rPr>
        <w:t xml:space="preserve">I </w:t>
      </w:r>
    </w:p>
    <w:p w:rsidR="001D441B" w:rsidRPr="001D441B" w:rsidRDefault="001D441B" w:rsidP="001D441B">
      <w:pPr>
        <w:jc w:val="center"/>
        <w:rPr>
          <w:rFonts w:eastAsia="Calibri"/>
          <w:b/>
          <w:sz w:val="28"/>
          <w:szCs w:val="28"/>
        </w:rPr>
      </w:pPr>
      <w:r w:rsidRPr="001D441B">
        <w:rPr>
          <w:rFonts w:eastAsia="Calibri"/>
          <w:b/>
          <w:sz w:val="28"/>
          <w:szCs w:val="28"/>
        </w:rPr>
        <w:t xml:space="preserve">NĂM HỌC </w:t>
      </w:r>
      <w:r>
        <w:rPr>
          <w:rFonts w:eastAsia="Calibri"/>
          <w:b/>
          <w:sz w:val="28"/>
          <w:szCs w:val="28"/>
        </w:rPr>
        <w:t>2022-2023</w:t>
      </w:r>
    </w:p>
    <w:p w:rsidR="001D441B" w:rsidRPr="001D441B" w:rsidRDefault="001D441B" w:rsidP="001D441B">
      <w:pPr>
        <w:ind w:left="-180" w:firstLine="180"/>
        <w:jc w:val="center"/>
        <w:rPr>
          <w:rFonts w:eastAsia="Calibri"/>
          <w:b/>
          <w:sz w:val="28"/>
          <w:szCs w:val="28"/>
        </w:rPr>
      </w:pPr>
      <w:r w:rsidRPr="001D441B">
        <w:rPr>
          <w:rFonts w:eastAsia="Calibri"/>
          <w:b/>
          <w:sz w:val="28"/>
          <w:szCs w:val="28"/>
        </w:rPr>
        <w:t xml:space="preserve">MÔN: </w:t>
      </w:r>
      <w:r>
        <w:rPr>
          <w:rFonts w:eastAsia="Calibri"/>
          <w:b/>
          <w:sz w:val="28"/>
          <w:szCs w:val="28"/>
        </w:rPr>
        <w:t>GDCD 9</w:t>
      </w:r>
    </w:p>
    <w:p w:rsidR="00A936D0" w:rsidRDefault="00A936D0" w:rsidP="0040105D">
      <w:pPr>
        <w:rPr>
          <w:b/>
          <w:color w:val="000000"/>
          <w:sz w:val="26"/>
          <w:szCs w:val="26"/>
          <w:lang w:val="nl-NL"/>
        </w:rPr>
      </w:pPr>
      <w:bookmarkStart w:id="0" w:name="_GoBack"/>
      <w:bookmarkEnd w:id="0"/>
    </w:p>
    <w:tbl>
      <w:tblPr>
        <w:tblW w:w="10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714"/>
        <w:gridCol w:w="1444"/>
        <w:gridCol w:w="1170"/>
        <w:gridCol w:w="1260"/>
        <w:gridCol w:w="630"/>
        <w:gridCol w:w="720"/>
        <w:gridCol w:w="990"/>
        <w:gridCol w:w="813"/>
      </w:tblGrid>
      <w:tr w:rsidR="00A936D0" w:rsidTr="001D441B">
        <w:trPr>
          <w:trHeight w:val="294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Chủ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đê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>̀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/ nội dung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Nhận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biết</w:t>
            </w:r>
            <w:proofErr w:type="spellEnd"/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hiểu</w:t>
            </w:r>
            <w:proofErr w:type="spellEnd"/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Vận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dụng</w:t>
            </w:r>
            <w:proofErr w:type="spellEnd"/>
          </w:p>
        </w:tc>
      </w:tr>
      <w:tr w:rsidR="00A936D0" w:rsidTr="001D441B">
        <w:trPr>
          <w:trHeight w:val="313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Cấp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đô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̣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thấp</w:t>
            </w:r>
            <w:proofErr w:type="spellEnd"/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Cấp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đô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̣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cao</w:t>
            </w:r>
            <w:proofErr w:type="spellEnd"/>
          </w:p>
        </w:tc>
      </w:tr>
      <w:tr w:rsidR="001D441B" w:rsidTr="001D441B">
        <w:trPr>
          <w:trHeight w:val="313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 w:rsidP="001D441B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TL</w:t>
            </w:r>
          </w:p>
        </w:tc>
      </w:tr>
      <w:tr w:rsidR="00A936D0" w:rsidTr="001D441B">
        <w:trPr>
          <w:trHeight w:val="2617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0" w:rsidRDefault="00A936D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Quyền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tham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quản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lí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nước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quản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lí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xã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hội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dân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:rsidR="00A936D0" w:rsidRDefault="00A936D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36D0" w:rsidRDefault="00A93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CD.</w:t>
            </w:r>
          </w:p>
          <w:p w:rsidR="00A936D0" w:rsidRDefault="00A936D0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hịên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CD.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0" w:rsidRDefault="00A93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Hiểu được ý nghĩa của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A936D0" w:rsidRDefault="00A936D0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D0" w:rsidRDefault="00A936D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D0" w:rsidRDefault="00A936D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rFonts w:ascii="Calibri" w:hAnsi="Calibri"/>
                <w:sz w:val="26"/>
                <w:szCs w:val="26"/>
                <w:lang w:val="vi-VN"/>
              </w:rPr>
              <w:t xml:space="preserve"> </w:t>
            </w:r>
          </w:p>
        </w:tc>
      </w:tr>
      <w:tr w:rsidR="00A936D0" w:rsidTr="001D441B">
        <w:trPr>
          <w:trHeight w:val="7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0" w:rsidRDefault="00A936D0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rPr>
                <w:sz w:val="26"/>
                <w:szCs w:val="26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0" w:rsidRDefault="00A936D0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A936D0" w:rsidTr="001D441B">
        <w:trPr>
          <w:trHeight w:val="188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D0" w:rsidRDefault="00A936D0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Vi phạm pháp luật và trách nhiệm pháp lí của công dân</w:t>
            </w:r>
          </w:p>
        </w:tc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D0" w:rsidRDefault="00A936D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Nêu được thế nào là vi phạm pháp luật, phân biệt các loại vi phạm pháp luật</w:t>
            </w:r>
          </w:p>
          <w:p w:rsidR="00A936D0" w:rsidRDefault="00A936D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Nêu được thế nào là trách nhiệm pháp lí, các loại trách nhiệm pháp lí.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D0" w:rsidRDefault="00A936D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Hiểu, phân biệt được các loại vi phạm pháp luật và các loại trách nhiệm pháp lí</w:t>
            </w:r>
            <w:r>
              <w:rPr>
                <w:sz w:val="26"/>
                <w:szCs w:val="26"/>
                <w:lang w:val="vi-VN"/>
              </w:rPr>
              <w:t>, cho ví dụ.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D0" w:rsidRDefault="00A936D0">
            <w:pPr>
              <w:autoSpaceDE w:val="0"/>
              <w:autoSpaceDN w:val="0"/>
              <w:adjustRightInd w:val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Liên hệ bản thân, đánh giá, nhận xét thái độ, hành vi của người khác.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D0" w:rsidRDefault="00A936D0">
            <w:pPr>
              <w:autoSpaceDE w:val="0"/>
              <w:autoSpaceDN w:val="0"/>
              <w:adjustRightInd w:val="0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>Bi</w:t>
            </w:r>
            <w:r>
              <w:rPr>
                <w:sz w:val="26"/>
                <w:szCs w:val="26"/>
                <w:lang w:val="vi-VN"/>
              </w:rPr>
              <w:t>ết xử lí tình huống, liên hệ, vận dụng và đề xuất giải pháp giải quyết vấn đề.</w:t>
            </w:r>
          </w:p>
        </w:tc>
      </w:tr>
      <w:tr w:rsidR="00A936D0" w:rsidTr="001D441B">
        <w:trPr>
          <w:trHeight w:val="139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D0" w:rsidRDefault="00A936D0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Nghĩa vụ bảo vệ tổ quốc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D0" w:rsidRDefault="00A936D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Nêu được thế nào là bảo vệ tổ quốc, nội dung nghĩa vụ bảo vệ tổ quốc. </w:t>
            </w:r>
          </w:p>
          <w:p w:rsidR="00A936D0" w:rsidRDefault="00A936D0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Nêu được một số quy định trong Hiến pháp 2013 và Luật nghĩa vụ quân sự </w:t>
            </w:r>
            <w:r>
              <w:rPr>
                <w:sz w:val="26"/>
                <w:szCs w:val="26"/>
              </w:rPr>
              <w:t>2015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0" w:rsidRDefault="00A936D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Hiểu nội dung, ý nghĩa của bảo vệ tổ quốc.</w:t>
            </w:r>
          </w:p>
          <w:p w:rsidR="00A936D0" w:rsidRDefault="00A936D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vi-VN"/>
              </w:rPr>
            </w:pPr>
          </w:p>
          <w:p w:rsidR="00A936D0" w:rsidRDefault="00A936D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0" w:rsidRDefault="00A936D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0" w:rsidRDefault="00A936D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A936D0" w:rsidTr="001D441B">
        <w:trPr>
          <w:trHeight w:val="32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D0" w:rsidRDefault="00A936D0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Sống có đạo đức và tuân theo pháp luật.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0" w:rsidRDefault="00A936D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Nêu được khái niệm sống có đạo đức và tuân theo pháp luật; mối quan hệ giữa đạo đức và pháp luật.</w:t>
            </w:r>
          </w:p>
          <w:p w:rsidR="00A936D0" w:rsidRDefault="00A936D0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D0" w:rsidRDefault="00A936D0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Hiểu được ý nghĩa của việc sống có đạo đức và tuân theo pháp luật;  trách </w:t>
            </w:r>
            <w:r>
              <w:rPr>
                <w:sz w:val="26"/>
                <w:szCs w:val="26"/>
                <w:lang w:val="vi-VN"/>
              </w:rPr>
              <w:lastRenderedPageBreak/>
              <w:t xml:space="preserve">nhiệm của thanh niên học sinh...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D0" w:rsidRDefault="00A936D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 xml:space="preserve">Liên hệ, đánh giá hành vi của bản thân và </w:t>
            </w:r>
            <w:r>
              <w:rPr>
                <w:sz w:val="26"/>
                <w:szCs w:val="26"/>
                <w:lang w:val="vi-VN"/>
              </w:rPr>
              <w:lastRenderedPageBreak/>
              <w:t>của người khác.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0" w:rsidRDefault="00A936D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rFonts w:ascii="Calibri" w:hAnsi="Calibri"/>
                <w:sz w:val="26"/>
                <w:szCs w:val="26"/>
                <w:lang w:val="vi-VN"/>
              </w:rPr>
              <w:lastRenderedPageBreak/>
              <w:t xml:space="preserve"> </w:t>
            </w:r>
            <w:r>
              <w:rPr>
                <w:rFonts w:ascii="VNI-Times" w:hAnsi="VNI-Times"/>
                <w:sz w:val="26"/>
                <w:szCs w:val="26"/>
                <w:lang w:val="vi-VN"/>
              </w:rPr>
              <w:t>Bi</w:t>
            </w:r>
            <w:r>
              <w:rPr>
                <w:sz w:val="26"/>
                <w:szCs w:val="26"/>
                <w:lang w:val="vi-VN"/>
              </w:rPr>
              <w:t>ết xử lí tình huống và  đề xuất giải pháp giải quyết vấn đề.</w:t>
            </w:r>
          </w:p>
          <w:p w:rsidR="00A936D0" w:rsidRDefault="00A936D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A936D0" w:rsidTr="001D441B">
        <w:trPr>
          <w:trHeight w:val="63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D0" w:rsidRDefault="00A936D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lastRenderedPageBreak/>
              <w:t xml:space="preserve">100%TSĐ: 10 </w:t>
            </w:r>
            <w:proofErr w:type="spellStart"/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điểm</w:t>
            </w:r>
            <w:proofErr w:type="spellEnd"/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D0" w:rsidRDefault="00A936D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30 %TSĐ = 3</w:t>
            </w:r>
            <w:r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điểm</w:t>
            </w:r>
            <w:proofErr w:type="spellEnd"/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D0" w:rsidRDefault="00A936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30 %TSĐ = 3</w:t>
            </w:r>
            <w:r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điểm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D0" w:rsidRDefault="00A936D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20 %TSĐ = 2</w:t>
            </w:r>
            <w:r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điểm</w:t>
            </w:r>
            <w:proofErr w:type="spellEnd"/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D0" w:rsidRDefault="00A936D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20 % TSĐ = 2</w:t>
            </w:r>
            <w:r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điểm</w:t>
            </w:r>
            <w:proofErr w:type="spellEnd"/>
          </w:p>
        </w:tc>
      </w:tr>
    </w:tbl>
    <w:p w:rsidR="00092624" w:rsidRDefault="0040105D"/>
    <w:sectPr w:rsidR="00092624" w:rsidSect="001D441B">
      <w:pgSz w:w="11906" w:h="16838"/>
      <w:pgMar w:top="1440" w:right="1440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D0"/>
    <w:rsid w:val="00171B02"/>
    <w:rsid w:val="001D441B"/>
    <w:rsid w:val="0040105D"/>
    <w:rsid w:val="00A936D0"/>
    <w:rsid w:val="00F7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ABEA99"/>
  <w15:chartTrackingRefBased/>
  <w15:docId w15:val="{412253BF-3691-47F4-B7D5-6A531275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2023-04-13T00:41:00Z</dcterms:created>
  <dcterms:modified xsi:type="dcterms:W3CDTF">2023-04-13T14:30:00Z</dcterms:modified>
</cp:coreProperties>
</file>