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68" w:rsidRPr="001613BB" w:rsidRDefault="00C8753C" w:rsidP="00942C68">
      <w:pPr>
        <w:spacing w:before="100" w:beforeAutospacing="1" w:after="100" w:afterAutospacing="1" w:line="240" w:lineRule="auto"/>
        <w:outlineLvl w:val="0"/>
        <w:rPr>
          <w:rFonts w:ascii="Arial" w:eastAsia="Times New Roman" w:hAnsi="Arial" w:cs="Arial"/>
          <w:b/>
          <w:bCs/>
          <w:kern w:val="36"/>
          <w:sz w:val="32"/>
          <w:szCs w:val="26"/>
        </w:rPr>
      </w:pPr>
      <w:r w:rsidRPr="001613BB">
        <w:rPr>
          <w:rFonts w:ascii="Arial" w:eastAsia="Times New Roman" w:hAnsi="Arial" w:cs="Arial"/>
          <w:b/>
          <w:bCs/>
          <w:kern w:val="36"/>
          <w:sz w:val="32"/>
          <w:szCs w:val="26"/>
        </w:rPr>
        <w:t xml:space="preserve">Có thể </w:t>
      </w:r>
      <w:r w:rsidR="00C6398E">
        <w:rPr>
          <w:rFonts w:ascii="Arial" w:eastAsia="Times New Roman" w:hAnsi="Arial" w:cs="Arial"/>
          <w:b/>
          <w:bCs/>
          <w:kern w:val="36"/>
          <w:sz w:val="32"/>
          <w:szCs w:val="26"/>
        </w:rPr>
        <w:t xml:space="preserve">bị </w:t>
      </w:r>
      <w:r w:rsidRPr="001613BB">
        <w:rPr>
          <w:rFonts w:ascii="Arial" w:eastAsia="Times New Roman" w:hAnsi="Arial" w:cs="Arial"/>
          <w:b/>
          <w:bCs/>
          <w:kern w:val="36"/>
          <w:sz w:val="32"/>
          <w:szCs w:val="26"/>
        </w:rPr>
        <w:t>p</w:t>
      </w:r>
      <w:r w:rsidR="00942C68" w:rsidRPr="001613BB">
        <w:rPr>
          <w:rFonts w:ascii="Arial" w:eastAsia="Times New Roman" w:hAnsi="Arial" w:cs="Arial"/>
          <w:b/>
          <w:bCs/>
          <w:kern w:val="36"/>
          <w:sz w:val="32"/>
          <w:szCs w:val="26"/>
        </w:rPr>
        <w:t xml:space="preserve">hạt tù </w:t>
      </w:r>
      <w:r w:rsidRPr="001613BB">
        <w:rPr>
          <w:rFonts w:ascii="Arial" w:eastAsia="Times New Roman" w:hAnsi="Arial" w:cs="Arial"/>
          <w:b/>
          <w:bCs/>
          <w:kern w:val="36"/>
          <w:sz w:val="32"/>
          <w:szCs w:val="26"/>
        </w:rPr>
        <w:t xml:space="preserve">đến </w:t>
      </w:r>
      <w:r w:rsidR="00942C68" w:rsidRPr="001613BB">
        <w:rPr>
          <w:rFonts w:ascii="Arial" w:eastAsia="Times New Roman" w:hAnsi="Arial" w:cs="Arial"/>
          <w:b/>
          <w:bCs/>
          <w:kern w:val="36"/>
          <w:sz w:val="32"/>
          <w:szCs w:val="26"/>
        </w:rPr>
        <w:t xml:space="preserve">20 năm với hành vi </w:t>
      </w:r>
      <w:r w:rsidR="00704A0B">
        <w:rPr>
          <w:rFonts w:ascii="Arial" w:eastAsia="Times New Roman" w:hAnsi="Arial" w:cs="Arial"/>
          <w:b/>
          <w:bCs/>
          <w:kern w:val="36"/>
          <w:sz w:val="32"/>
          <w:szCs w:val="26"/>
        </w:rPr>
        <w:t>vi phạm quy định về vệ sinh an toàn thực phẩm</w:t>
      </w:r>
    </w:p>
    <w:p w:rsidR="00942C68" w:rsidRPr="000E391A" w:rsidRDefault="00314DB3" w:rsidP="00564C4E">
      <w:pPr>
        <w:spacing w:before="100" w:beforeAutospacing="1" w:after="100" w:afterAutospacing="1" w:line="240" w:lineRule="auto"/>
        <w:ind w:firstLine="851"/>
        <w:rPr>
          <w:rFonts w:ascii="Arial" w:eastAsia="Times New Roman" w:hAnsi="Arial" w:cs="Arial"/>
          <w:sz w:val="26"/>
          <w:szCs w:val="26"/>
        </w:rPr>
      </w:pPr>
      <w:r w:rsidRPr="000E391A">
        <w:rPr>
          <w:rFonts w:ascii="Arial" w:eastAsia="Times New Roman" w:hAnsi="Arial" w:cs="Arial"/>
          <w:sz w:val="26"/>
          <w:szCs w:val="26"/>
        </w:rPr>
        <w:t xml:space="preserve">Kể từ ngày 01/7/2016 </w:t>
      </w:r>
      <w:r w:rsidR="00942C68" w:rsidRPr="000E391A">
        <w:rPr>
          <w:rFonts w:ascii="Arial" w:eastAsia="Times New Roman" w:hAnsi="Arial" w:cs="Arial"/>
          <w:sz w:val="26"/>
          <w:szCs w:val="26"/>
        </w:rPr>
        <w:t>Bộ luật Hình sự 2015 sửa đổi sẽ chính thức áp dụng</w:t>
      </w:r>
      <w:r w:rsidRPr="000E391A">
        <w:rPr>
          <w:rFonts w:ascii="Arial" w:eastAsia="Times New Roman" w:hAnsi="Arial" w:cs="Arial"/>
          <w:sz w:val="26"/>
          <w:szCs w:val="26"/>
        </w:rPr>
        <w:t>. N</w:t>
      </w:r>
      <w:r w:rsidR="00942C68" w:rsidRPr="000E391A">
        <w:rPr>
          <w:rFonts w:ascii="Arial" w:eastAsia="Times New Roman" w:hAnsi="Arial" w:cs="Arial"/>
          <w:sz w:val="26"/>
          <w:szCs w:val="26"/>
        </w:rPr>
        <w:t xml:space="preserve">hững tổ chức, cá nhân </w:t>
      </w:r>
      <w:r w:rsidR="008065A3">
        <w:rPr>
          <w:rFonts w:ascii="Arial" w:eastAsia="Times New Roman" w:hAnsi="Arial" w:cs="Arial"/>
          <w:sz w:val="26"/>
          <w:szCs w:val="26"/>
        </w:rPr>
        <w:t>vi phạm quy định về vệ sinh an toàn thực phẩm  theo Điều 317 của Bộ lu</w:t>
      </w:r>
      <w:bookmarkStart w:id="0" w:name="_GoBack"/>
      <w:bookmarkEnd w:id="0"/>
      <w:r w:rsidR="008065A3">
        <w:rPr>
          <w:rFonts w:ascii="Arial" w:eastAsia="Times New Roman" w:hAnsi="Arial" w:cs="Arial"/>
          <w:sz w:val="26"/>
          <w:szCs w:val="26"/>
        </w:rPr>
        <w:t xml:space="preserve">ật nầy </w:t>
      </w:r>
      <w:r w:rsidR="00942C68" w:rsidRPr="000E391A">
        <w:rPr>
          <w:rFonts w:ascii="Arial" w:eastAsia="Times New Roman" w:hAnsi="Arial" w:cs="Arial"/>
          <w:sz w:val="26"/>
          <w:szCs w:val="26"/>
        </w:rPr>
        <w:t xml:space="preserve">có thể </w:t>
      </w:r>
      <w:r w:rsidR="00C72075" w:rsidRPr="000E391A">
        <w:rPr>
          <w:rFonts w:ascii="Arial" w:eastAsia="Times New Roman" w:hAnsi="Arial" w:cs="Arial"/>
          <w:sz w:val="26"/>
          <w:szCs w:val="26"/>
        </w:rPr>
        <w:t>bị xử lý với</w:t>
      </w:r>
      <w:r w:rsidR="00942C68" w:rsidRPr="000E391A">
        <w:rPr>
          <w:rFonts w:ascii="Arial" w:eastAsia="Times New Roman" w:hAnsi="Arial" w:cs="Arial"/>
          <w:sz w:val="26"/>
          <w:szCs w:val="26"/>
        </w:rPr>
        <w:t xml:space="preserve"> mức án 20 năm tù</w:t>
      </w:r>
      <w:r w:rsidR="008065A3">
        <w:rPr>
          <w:rFonts w:ascii="Arial" w:eastAsia="Times New Roman" w:hAnsi="Arial" w:cs="Arial"/>
          <w:sz w:val="26"/>
          <w:szCs w:val="26"/>
        </w:rPr>
        <w:t>.</w:t>
      </w:r>
    </w:p>
    <w:p w:rsidR="00C8753C" w:rsidRPr="000E391A" w:rsidRDefault="00C72075" w:rsidP="00564C4E">
      <w:pPr>
        <w:spacing w:before="100" w:beforeAutospacing="1" w:after="100" w:afterAutospacing="1" w:line="240" w:lineRule="auto"/>
        <w:ind w:firstLine="851"/>
        <w:rPr>
          <w:rFonts w:ascii="Arial" w:eastAsia="Times New Roman" w:hAnsi="Arial" w:cs="Arial"/>
          <w:sz w:val="26"/>
          <w:szCs w:val="26"/>
        </w:rPr>
      </w:pPr>
      <w:r w:rsidRPr="000E391A">
        <w:rPr>
          <w:rFonts w:ascii="Arial" w:eastAsia="Times New Roman" w:hAnsi="Arial" w:cs="Arial"/>
          <w:sz w:val="26"/>
          <w:szCs w:val="26"/>
        </w:rPr>
        <w:t>Theo Bộ luật này</w:t>
      </w:r>
      <w:r w:rsidR="00942C68" w:rsidRPr="000E391A">
        <w:rPr>
          <w:rFonts w:ascii="Arial" w:eastAsia="Times New Roman" w:hAnsi="Arial" w:cs="Arial"/>
          <w:sz w:val="26"/>
          <w:szCs w:val="26"/>
        </w:rPr>
        <w:t xml:space="preserve"> quy định cấu thành tội phạm là cấu thành hình thức khi đã sử dụng chất cấm có tổ chức, có hệ thống, hoặc cố ý sử dụng là bị xử phạt.</w:t>
      </w:r>
      <w:r w:rsidR="00F53854" w:rsidRPr="000E391A">
        <w:rPr>
          <w:rFonts w:ascii="Arial" w:eastAsia="Times New Roman" w:hAnsi="Arial" w:cs="Arial"/>
          <w:sz w:val="26"/>
          <w:szCs w:val="26"/>
        </w:rPr>
        <w:t xml:space="preserve"> </w:t>
      </w:r>
      <w:r w:rsidR="00942C68" w:rsidRPr="000E391A">
        <w:rPr>
          <w:rFonts w:ascii="Arial" w:eastAsia="Times New Roman" w:hAnsi="Arial" w:cs="Arial"/>
          <w:sz w:val="26"/>
          <w:szCs w:val="26"/>
        </w:rPr>
        <w:t>Vì vậy, khi phát hiện tổ chức, cá nhân sử dụng chất cấm có thể truy tố hình sự vì hành vi cấu t</w:t>
      </w:r>
      <w:r w:rsidR="00314DB3" w:rsidRPr="000E391A">
        <w:rPr>
          <w:rFonts w:ascii="Arial" w:eastAsia="Times New Roman" w:hAnsi="Arial" w:cs="Arial"/>
          <w:sz w:val="26"/>
          <w:szCs w:val="26"/>
        </w:rPr>
        <w:t>hành tội phạm sử dụng chất cấm.</w:t>
      </w:r>
    </w:p>
    <w:p w:rsidR="00942C68" w:rsidRPr="000E391A" w:rsidRDefault="00942C68" w:rsidP="00564C4E">
      <w:pPr>
        <w:spacing w:before="100" w:beforeAutospacing="1" w:after="100" w:afterAutospacing="1" w:line="240" w:lineRule="auto"/>
        <w:ind w:firstLine="851"/>
        <w:rPr>
          <w:rFonts w:ascii="Arial" w:eastAsia="Times New Roman" w:hAnsi="Arial" w:cs="Arial"/>
          <w:sz w:val="26"/>
          <w:szCs w:val="26"/>
        </w:rPr>
      </w:pPr>
      <w:r w:rsidRPr="000E391A">
        <w:rPr>
          <w:rFonts w:ascii="Arial" w:eastAsia="Times New Roman" w:hAnsi="Arial" w:cs="Arial"/>
          <w:sz w:val="26"/>
          <w:szCs w:val="26"/>
        </w:rPr>
        <w:t>Bộ Luật Hình sự năm 2015 đã đưa vào Điều 190, 191, 195 và quan trọng nhất là Điều 317 là hành vi cấu thành tội phạm hình thức. Tức là chỉ cần đưa hóa chất cấm không được sử dụng vào thực phẩm; vận chuyển, buôn bán, tàng trữ và đưa vào thực phẩm thì đã đủ yếu tố để khẳng định cá nhân, tổ chức phạm tội.</w:t>
      </w:r>
    </w:p>
    <w:p w:rsidR="001613BB" w:rsidRDefault="001613BB" w:rsidP="000E391A">
      <w:pPr>
        <w:spacing w:before="40" w:after="40"/>
        <w:jc w:val="center"/>
        <w:rPr>
          <w:rFonts w:ascii="Arial" w:hAnsi="Arial" w:cs="Arial"/>
          <w:b/>
          <w:bCs/>
          <w:color w:val="000000"/>
          <w:sz w:val="26"/>
          <w:szCs w:val="26"/>
        </w:rPr>
      </w:pPr>
      <w:r w:rsidRPr="000E391A">
        <w:rPr>
          <w:rFonts w:ascii="Arial" w:hAnsi="Arial" w:cs="Arial"/>
          <w:b/>
          <w:noProof/>
          <w:sz w:val="26"/>
          <w:szCs w:val="26"/>
        </w:rPr>
        <mc:AlternateContent>
          <mc:Choice Requires="wps">
            <w:drawing>
              <wp:anchor distT="0" distB="0" distL="114300" distR="114300" simplePos="0" relativeHeight="251661312" behindDoc="0" locked="0" layoutInCell="1" allowOverlap="1" wp14:anchorId="7E4778DD" wp14:editId="16F49F30">
                <wp:simplePos x="0" y="0"/>
                <wp:positionH relativeFrom="column">
                  <wp:posOffset>2150110</wp:posOffset>
                </wp:positionH>
                <wp:positionV relativeFrom="paragraph">
                  <wp:posOffset>1905</wp:posOffset>
                </wp:positionV>
                <wp:extent cx="16821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9.3pt;margin-top:.15pt;width:132.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9RJQ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" strokeweight="1.5pt"/>
            </w:pict>
          </mc:Fallback>
        </mc:AlternateContent>
      </w:r>
    </w:p>
    <w:p w:rsidR="000E391A" w:rsidRPr="000E391A" w:rsidRDefault="000E391A" w:rsidP="000E391A">
      <w:pPr>
        <w:spacing w:before="40" w:after="40"/>
        <w:jc w:val="center"/>
        <w:rPr>
          <w:rFonts w:ascii="Arial" w:hAnsi="Arial" w:cs="Arial"/>
          <w:b/>
          <w:bCs/>
          <w:color w:val="000000"/>
          <w:sz w:val="26"/>
          <w:szCs w:val="26"/>
        </w:rPr>
      </w:pPr>
      <w:r w:rsidRPr="000E391A">
        <w:rPr>
          <w:rFonts w:ascii="Arial" w:hAnsi="Arial" w:cs="Arial"/>
          <w:b/>
          <w:bCs/>
          <w:color w:val="000000"/>
          <w:sz w:val="26"/>
          <w:szCs w:val="26"/>
        </w:rPr>
        <w:t>TRÍCH ĐIỀU 317, BỘ LUẬT HÌNH SỰ NĂM 2015</w:t>
      </w:r>
    </w:p>
    <w:p w:rsidR="000E391A" w:rsidRPr="000E391A" w:rsidRDefault="000E391A" w:rsidP="000E391A">
      <w:pPr>
        <w:spacing w:before="40" w:after="40"/>
        <w:jc w:val="center"/>
        <w:rPr>
          <w:rFonts w:ascii="Arial" w:hAnsi="Arial" w:cs="Arial"/>
          <w:b/>
          <w:bCs/>
          <w:i/>
          <w:color w:val="000000"/>
          <w:sz w:val="26"/>
          <w:szCs w:val="26"/>
        </w:rPr>
      </w:pPr>
      <w:r w:rsidRPr="000E391A">
        <w:rPr>
          <w:rFonts w:ascii="Arial" w:hAnsi="Arial" w:cs="Arial"/>
          <w:b/>
          <w:bCs/>
          <w:i/>
          <w:color w:val="000000"/>
          <w:sz w:val="26"/>
          <w:szCs w:val="26"/>
        </w:rPr>
        <w:t>có hiệu lực thi hành từ ngày 01/7/2016</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b/>
          <w:bCs/>
          <w:color w:val="000000"/>
          <w:sz w:val="26"/>
          <w:szCs w:val="26"/>
          <w:lang w:val="vi-VN"/>
        </w:rPr>
        <w:t>Điều 317. Tội vi phạm quy định về vệ sinh an toàn thực phẩm</w:t>
      </w:r>
    </w:p>
    <w:p w:rsidR="000E391A" w:rsidRPr="000E391A" w:rsidRDefault="000E391A" w:rsidP="000E391A">
      <w:pPr>
        <w:spacing w:before="40" w:after="40"/>
        <w:ind w:firstLine="709"/>
        <w:jc w:val="both"/>
        <w:rPr>
          <w:rFonts w:ascii="Arial" w:hAnsi="Arial" w:cs="Arial"/>
          <w:b/>
          <w:sz w:val="26"/>
          <w:szCs w:val="26"/>
        </w:rPr>
      </w:pPr>
      <w:r w:rsidRPr="000E391A">
        <w:rPr>
          <w:rFonts w:ascii="Arial" w:hAnsi="Arial" w:cs="Arial"/>
          <w:b/>
          <w:color w:val="000000"/>
          <w:sz w:val="26"/>
          <w:szCs w:val="26"/>
          <w:lang w:val="vi-VN"/>
        </w:rPr>
        <w:t>1. Người nào thực hiện một trong các hành vi sau đây vi phạm các quy định về an toàn thực phẩm, thì bị phạt tiền từ 50</w:t>
      </w:r>
      <w:r w:rsidRPr="000E391A">
        <w:rPr>
          <w:rFonts w:ascii="Arial" w:hAnsi="Arial" w:cs="Arial"/>
          <w:b/>
          <w:color w:val="000000"/>
          <w:sz w:val="26"/>
          <w:szCs w:val="26"/>
        </w:rPr>
        <w:t xml:space="preserve"> triệu </w:t>
      </w:r>
      <w:r w:rsidRPr="000E391A">
        <w:rPr>
          <w:rFonts w:ascii="Arial" w:hAnsi="Arial" w:cs="Arial"/>
          <w:b/>
          <w:color w:val="000000"/>
          <w:sz w:val="26"/>
          <w:szCs w:val="26"/>
          <w:lang w:val="vi-VN"/>
        </w:rPr>
        <w:t>đồng đến 200</w:t>
      </w:r>
      <w:r w:rsidRPr="000E391A">
        <w:rPr>
          <w:rFonts w:ascii="Arial" w:hAnsi="Arial" w:cs="Arial"/>
          <w:b/>
          <w:color w:val="000000"/>
          <w:sz w:val="26"/>
          <w:szCs w:val="26"/>
        </w:rPr>
        <w:t xml:space="preserve"> triệu</w:t>
      </w:r>
      <w:r w:rsidRPr="000E391A">
        <w:rPr>
          <w:rFonts w:ascii="Arial" w:hAnsi="Arial" w:cs="Arial"/>
          <w:b/>
          <w:color w:val="000000"/>
          <w:sz w:val="26"/>
          <w:szCs w:val="26"/>
          <w:lang w:val="vi-VN"/>
        </w:rPr>
        <w:t xml:space="preserve"> đồng hoặc phạt tù từ 01 năm đến 05 năm:</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sz w:val="26"/>
          <w:szCs w:val="26"/>
          <w:lang w:val="vi-VN"/>
        </w:rPr>
        <w:t>a) Sử dụng chất cấm trong sản xuất, sơ chế, chế biến, bảo quản thực phẩm hoặc bán, cung cấp thực phẩm mà biết rõ là thực phẩm có sử dụng chất cấm;</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sz w:val="26"/>
          <w:szCs w:val="26"/>
          <w:lang w:val="vi-VN"/>
        </w:rPr>
        <w:t xml:space="preserve">b) Sử dụng </w:t>
      </w:r>
      <w:r w:rsidRPr="000E391A">
        <w:rPr>
          <w:rFonts w:ascii="Arial" w:hAnsi="Arial" w:cs="Arial"/>
          <w:color w:val="000000"/>
          <w:sz w:val="26"/>
          <w:szCs w:val="26"/>
          <w:lang w:val="vi-VN"/>
        </w:rPr>
        <w:t>hóa chất, kháng sinh, thuốc thú y, thuốc bảo vệ thực vật cấm sử dụng</w:t>
      </w:r>
      <w:r w:rsidRPr="000E391A">
        <w:rPr>
          <w:rFonts w:ascii="Arial" w:hAnsi="Arial" w:cs="Arial"/>
          <w:sz w:val="26"/>
          <w:szCs w:val="26"/>
          <w:lang w:val="vi-VN"/>
        </w:rPr>
        <w:t xml:space="preserve"> trong trồng trọt, chăn nuôi, nuôi trồng thủy sản, làm muối, sơ chế, chế biến, bảo quản nông, lâm, thủy sản và muối tạo ra dư lượng vượt ngưỡng cho phép trong sản phẩm;</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sz w:val="26"/>
          <w:szCs w:val="26"/>
          <w:lang w:val="vi-VN"/>
        </w:rPr>
        <w:t>c) Sử dụng các loại hóa chất, kháng sinh, thuốc thú y, thuốc bảo vệ thực vật, chất xử lý cải tạo môi trường ngoài danh mục được phép sử dụng hoặc không rõ nguồn gốc xuất xứ hoặc không đúng quy định trong sản xuất, sơ chế, chế biến, bảo quản thực phẩm trong trồng trọt, chăn nuôi, nuôi trồng thủy sản, làm muối tạo ra dư lượng vượt ngưỡng cho phép trong sản phẩm hoặc đã bị xử phạt vi phạm hành chính về một trong các hành vi tại điểm này hoặc điểm a khoản này mà còn vi phạm;</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sz w:val="26"/>
          <w:szCs w:val="26"/>
          <w:lang w:val="vi-VN"/>
        </w:rPr>
        <w:lastRenderedPageBreak/>
        <w:t xml:space="preserve">d) Chế biến, cung cấp hoặc bán thực phẩm mà biết rõ là thực phẩm không bảo đảm quy chuẩn kỹ thuật, quy định về an toàn thực phẩm; sử dụng hóa chất, phụ gia, chất hỗ trợ chế biến ngoài danh mục được phép sử dụng hoặc không rõ nguồn gốc xuất xứ trong sản xuất, sơ chế, chế biến, bảo quản thực phẩm: </w:t>
      </w:r>
      <w:r w:rsidRPr="000E391A">
        <w:rPr>
          <w:rFonts w:ascii="Arial" w:hAnsi="Arial" w:cs="Arial"/>
          <w:color w:val="000000"/>
          <w:sz w:val="26"/>
          <w:szCs w:val="26"/>
          <w:lang w:val="vi-VN"/>
        </w:rPr>
        <w:t>gây tổn hại cho sức khỏe của 01 người mà tỷ lệ tổn thương cơ thể từ 31% đến 60% hoặc gây tổn hại cho sức khỏe của 02 người trở lên mà tổng tỷ lệ tổn thương cơ thể của những người này từ 31% đến 60% hoặc t</w:t>
      </w:r>
      <w:r w:rsidRPr="000E391A">
        <w:rPr>
          <w:rFonts w:ascii="Arial" w:hAnsi="Arial" w:cs="Arial"/>
          <w:sz w:val="26"/>
          <w:szCs w:val="26"/>
          <w:lang w:val="vi-VN"/>
        </w:rPr>
        <w:t>hu lợi bất chính từ 50</w:t>
      </w:r>
      <w:r w:rsidRPr="000E391A">
        <w:rPr>
          <w:rFonts w:ascii="Arial" w:hAnsi="Arial" w:cs="Arial"/>
          <w:sz w:val="26"/>
          <w:szCs w:val="26"/>
        </w:rPr>
        <w:t xml:space="preserve"> triệu</w:t>
      </w:r>
      <w:r w:rsidRPr="000E391A">
        <w:rPr>
          <w:rFonts w:ascii="Arial" w:hAnsi="Arial" w:cs="Arial"/>
          <w:sz w:val="26"/>
          <w:szCs w:val="26"/>
          <w:lang w:val="vi-VN"/>
        </w:rPr>
        <w:t xml:space="preserve"> đồng đến 100</w:t>
      </w:r>
      <w:r w:rsidRPr="000E391A">
        <w:rPr>
          <w:rFonts w:ascii="Arial" w:hAnsi="Arial" w:cs="Arial"/>
          <w:sz w:val="26"/>
          <w:szCs w:val="26"/>
        </w:rPr>
        <w:t xml:space="preserve"> triệu</w:t>
      </w:r>
      <w:r w:rsidRPr="000E391A">
        <w:rPr>
          <w:rFonts w:ascii="Arial" w:hAnsi="Arial" w:cs="Arial"/>
          <w:sz w:val="26"/>
          <w:szCs w:val="26"/>
          <w:lang w:val="vi-VN"/>
        </w:rPr>
        <w:t xml:space="preserve"> đồng.</w:t>
      </w:r>
    </w:p>
    <w:p w:rsidR="000E391A" w:rsidRPr="000E391A" w:rsidRDefault="000E391A" w:rsidP="000E391A">
      <w:pPr>
        <w:spacing w:before="40" w:after="40"/>
        <w:ind w:firstLine="709"/>
        <w:jc w:val="both"/>
        <w:rPr>
          <w:rFonts w:ascii="Arial" w:hAnsi="Arial" w:cs="Arial"/>
          <w:b/>
          <w:sz w:val="26"/>
          <w:szCs w:val="26"/>
        </w:rPr>
      </w:pPr>
      <w:r w:rsidRPr="000E391A">
        <w:rPr>
          <w:rFonts w:ascii="Arial" w:hAnsi="Arial" w:cs="Arial"/>
          <w:b/>
          <w:sz w:val="26"/>
          <w:szCs w:val="26"/>
          <w:lang w:val="vi-VN"/>
        </w:rPr>
        <w:t>2. Phạm tội thuộc một trong các trường hợp sau đây, thì bị phạt tiền từ 200</w:t>
      </w:r>
      <w:r w:rsidRPr="000E391A">
        <w:rPr>
          <w:rFonts w:ascii="Arial" w:hAnsi="Arial" w:cs="Arial"/>
          <w:b/>
          <w:sz w:val="26"/>
          <w:szCs w:val="26"/>
        </w:rPr>
        <w:t xml:space="preserve"> triệu</w:t>
      </w:r>
      <w:r w:rsidRPr="000E391A">
        <w:rPr>
          <w:rFonts w:ascii="Arial" w:hAnsi="Arial" w:cs="Arial"/>
          <w:b/>
          <w:sz w:val="26"/>
          <w:szCs w:val="26"/>
          <w:lang w:val="vi-VN"/>
        </w:rPr>
        <w:t xml:space="preserve"> đồng đến 500</w:t>
      </w:r>
      <w:r w:rsidRPr="000E391A">
        <w:rPr>
          <w:rFonts w:ascii="Arial" w:hAnsi="Arial" w:cs="Arial"/>
          <w:b/>
          <w:sz w:val="26"/>
          <w:szCs w:val="26"/>
        </w:rPr>
        <w:t xml:space="preserve"> triệu</w:t>
      </w:r>
      <w:r w:rsidRPr="000E391A">
        <w:rPr>
          <w:rFonts w:ascii="Arial" w:hAnsi="Arial" w:cs="Arial"/>
          <w:b/>
          <w:sz w:val="26"/>
          <w:szCs w:val="26"/>
          <w:lang w:val="vi-VN"/>
        </w:rPr>
        <w:t xml:space="preserve"> đồng hoặc phạt tù 03 năm đến 07 năm:</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 xml:space="preserve">a) </w:t>
      </w:r>
      <w:r w:rsidRPr="000E391A">
        <w:rPr>
          <w:rFonts w:ascii="Arial" w:hAnsi="Arial" w:cs="Arial"/>
          <w:sz w:val="26"/>
          <w:szCs w:val="26"/>
          <w:lang w:val="vi-VN"/>
        </w:rPr>
        <w:t>Phạm tội có tổ chức;</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b) Làm chết 01 người hoặc gây tổn hại sức khỏe cho 01 người với tỷ lệ tổn thương cơ thể 61% trở lên;</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 xml:space="preserve">c) Gây tổn hại cho sức khỏe của 02 người với tỷ lệ tổn thương cơ thể </w:t>
      </w:r>
      <w:r w:rsidRPr="000E391A">
        <w:rPr>
          <w:rFonts w:ascii="Arial" w:hAnsi="Arial" w:cs="Arial"/>
          <w:color w:val="000000"/>
          <w:sz w:val="26"/>
          <w:szCs w:val="26"/>
        </w:rPr>
        <w:t xml:space="preserve">của </w:t>
      </w:r>
      <w:r w:rsidRPr="000E391A">
        <w:rPr>
          <w:rFonts w:ascii="Arial" w:hAnsi="Arial" w:cs="Arial"/>
          <w:color w:val="000000"/>
          <w:sz w:val="26"/>
          <w:szCs w:val="26"/>
          <w:lang w:val="vi-VN"/>
        </w:rPr>
        <w:t>mỗi người từ 31% đến 60%;</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d) Gây tổn hại cho sức khỏe của 03 người trở lên mà tổng tỷ lệ tổn thương cơ thể của những người này từ 61% đến 121%.</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sz w:val="26"/>
          <w:szCs w:val="26"/>
          <w:lang w:val="vi-VN"/>
        </w:rPr>
        <w:t xml:space="preserve">đ) </w:t>
      </w:r>
      <w:r w:rsidRPr="000E391A">
        <w:rPr>
          <w:rFonts w:ascii="Arial" w:hAnsi="Arial" w:cs="Arial"/>
          <w:color w:val="000000"/>
          <w:sz w:val="26"/>
          <w:szCs w:val="26"/>
          <w:lang w:val="vi-VN"/>
        </w:rPr>
        <w:t>Thu lợi bất chính từ 100</w:t>
      </w:r>
      <w:r w:rsidRPr="000E391A">
        <w:rPr>
          <w:rFonts w:ascii="Arial" w:hAnsi="Arial" w:cs="Arial"/>
          <w:color w:val="000000"/>
          <w:sz w:val="26"/>
          <w:szCs w:val="26"/>
        </w:rPr>
        <w:t xml:space="preserve"> triệu</w:t>
      </w:r>
      <w:r w:rsidRPr="000E391A">
        <w:rPr>
          <w:rFonts w:ascii="Arial" w:hAnsi="Arial" w:cs="Arial"/>
          <w:color w:val="000000"/>
          <w:sz w:val="26"/>
          <w:szCs w:val="26"/>
          <w:lang w:val="vi-VN"/>
        </w:rPr>
        <w:t xml:space="preserve"> đồng đến dưới 500</w:t>
      </w:r>
      <w:r w:rsidRPr="000E391A">
        <w:rPr>
          <w:rFonts w:ascii="Arial" w:hAnsi="Arial" w:cs="Arial"/>
          <w:color w:val="000000"/>
          <w:sz w:val="26"/>
          <w:szCs w:val="26"/>
        </w:rPr>
        <w:t xml:space="preserve"> triệu</w:t>
      </w:r>
      <w:r w:rsidRPr="000E391A">
        <w:rPr>
          <w:rFonts w:ascii="Arial" w:hAnsi="Arial" w:cs="Arial"/>
          <w:color w:val="000000"/>
          <w:sz w:val="26"/>
          <w:szCs w:val="26"/>
          <w:lang w:val="vi-VN"/>
        </w:rPr>
        <w:t xml:space="preserve"> đồng;</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sz w:val="26"/>
          <w:szCs w:val="26"/>
          <w:lang w:val="vi-VN"/>
        </w:rPr>
        <w:t>e) Phạm tội 02 lần trở lên;</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sz w:val="26"/>
          <w:szCs w:val="26"/>
          <w:lang w:val="vi-VN"/>
        </w:rPr>
        <w:t>g) Tái phạm nguy hiểm.</w:t>
      </w:r>
    </w:p>
    <w:p w:rsidR="000E391A" w:rsidRPr="000E391A" w:rsidRDefault="000E391A" w:rsidP="000E391A">
      <w:pPr>
        <w:spacing w:before="40" w:after="40"/>
        <w:ind w:firstLine="709"/>
        <w:jc w:val="both"/>
        <w:rPr>
          <w:rFonts w:ascii="Arial" w:hAnsi="Arial" w:cs="Arial"/>
          <w:b/>
          <w:sz w:val="26"/>
          <w:szCs w:val="26"/>
        </w:rPr>
      </w:pPr>
      <w:r w:rsidRPr="000E391A">
        <w:rPr>
          <w:rFonts w:ascii="Arial" w:hAnsi="Arial" w:cs="Arial"/>
          <w:b/>
          <w:color w:val="000000"/>
          <w:sz w:val="26"/>
          <w:szCs w:val="26"/>
          <w:lang w:val="vi-VN"/>
        </w:rPr>
        <w:t>3. Phạm tội thuộc một trong các trường hợp sau đây, thì bị phạt tù từ 07 năm đến 15 năm:</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a) Làm chết 02 người;</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b) Gây tổn hại cho sức khỏe của 02 người với tỷ lệ tổn thương cơ thể của mỗi người 61% trở lên;</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c) Gây tổn hại cho sức khỏe của 03 người trở lên mà tổng tỷ lệ tổn thương cơ thể của những người này từ 122% đến 200%;</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d) Thu lợi bất chính từ 500</w:t>
      </w:r>
      <w:r w:rsidRPr="000E391A">
        <w:rPr>
          <w:rFonts w:ascii="Arial" w:hAnsi="Arial" w:cs="Arial"/>
          <w:color w:val="000000"/>
          <w:sz w:val="26"/>
          <w:szCs w:val="26"/>
        </w:rPr>
        <w:t xml:space="preserve"> triệu</w:t>
      </w:r>
      <w:r w:rsidRPr="000E391A">
        <w:rPr>
          <w:rFonts w:ascii="Arial" w:hAnsi="Arial" w:cs="Arial"/>
          <w:color w:val="000000"/>
          <w:sz w:val="26"/>
          <w:szCs w:val="26"/>
          <w:lang w:val="vi-VN"/>
        </w:rPr>
        <w:t xml:space="preserve"> đồng đến dưới 1</w:t>
      </w:r>
      <w:r w:rsidRPr="000E391A">
        <w:rPr>
          <w:rFonts w:ascii="Arial" w:hAnsi="Arial" w:cs="Arial"/>
          <w:color w:val="000000"/>
          <w:sz w:val="26"/>
          <w:szCs w:val="26"/>
        </w:rPr>
        <w:t>tỷ</w:t>
      </w:r>
      <w:r w:rsidRPr="000E391A">
        <w:rPr>
          <w:rFonts w:ascii="Arial" w:hAnsi="Arial" w:cs="Arial"/>
          <w:color w:val="000000"/>
          <w:sz w:val="26"/>
          <w:szCs w:val="26"/>
          <w:lang w:val="vi-VN"/>
        </w:rPr>
        <w:t xml:space="preserve"> đồng.</w:t>
      </w:r>
    </w:p>
    <w:p w:rsidR="000E391A" w:rsidRPr="000E391A" w:rsidRDefault="000E391A" w:rsidP="000E391A">
      <w:pPr>
        <w:spacing w:before="40" w:after="40"/>
        <w:ind w:firstLine="709"/>
        <w:jc w:val="both"/>
        <w:rPr>
          <w:rFonts w:ascii="Arial" w:hAnsi="Arial" w:cs="Arial"/>
          <w:b/>
          <w:sz w:val="26"/>
          <w:szCs w:val="26"/>
        </w:rPr>
      </w:pPr>
      <w:r w:rsidRPr="000E391A">
        <w:rPr>
          <w:rFonts w:ascii="Arial" w:hAnsi="Arial" w:cs="Arial"/>
          <w:b/>
          <w:sz w:val="26"/>
          <w:szCs w:val="26"/>
          <w:lang w:val="vi-VN"/>
        </w:rPr>
        <w:t xml:space="preserve">4. Phạm tội thuộc một trong các trường hợp sau đây, thì bị phạt tù từ 12 năm đến </w:t>
      </w:r>
      <w:r w:rsidRPr="00C6398E">
        <w:rPr>
          <w:rFonts w:ascii="Arial" w:hAnsi="Arial" w:cs="Arial"/>
          <w:b/>
          <w:color w:val="FF0000"/>
          <w:sz w:val="26"/>
          <w:szCs w:val="26"/>
          <w:lang w:val="vi-VN"/>
        </w:rPr>
        <w:t>20 năm</w:t>
      </w:r>
      <w:r w:rsidRPr="000E391A">
        <w:rPr>
          <w:rFonts w:ascii="Arial" w:hAnsi="Arial" w:cs="Arial"/>
          <w:b/>
          <w:sz w:val="26"/>
          <w:szCs w:val="26"/>
          <w:lang w:val="vi-VN"/>
        </w:rPr>
        <w:t>:</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a) Làm chết 03 người trở lên;</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b) Gây tổn hại cho sức khỏe của 03 người trở lên với tỷ lệ tổn thương cơ thể của mỗi người 61% trở lên;</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t>c) Gây tổn hại cho sức khỏe của 03 người trở lên mà tổng tỷ lệ tổn thương cơ thể của những người này 201% trở lên;</w:t>
      </w:r>
    </w:p>
    <w:p w:rsidR="000E391A" w:rsidRPr="000E391A" w:rsidRDefault="000E391A" w:rsidP="000E391A">
      <w:pPr>
        <w:spacing w:before="40" w:after="40"/>
        <w:ind w:firstLine="709"/>
        <w:jc w:val="both"/>
        <w:rPr>
          <w:rFonts w:ascii="Arial" w:hAnsi="Arial" w:cs="Arial"/>
          <w:sz w:val="26"/>
          <w:szCs w:val="26"/>
        </w:rPr>
      </w:pPr>
      <w:r w:rsidRPr="000E391A">
        <w:rPr>
          <w:rFonts w:ascii="Arial" w:hAnsi="Arial" w:cs="Arial"/>
          <w:color w:val="000000"/>
          <w:sz w:val="26"/>
          <w:szCs w:val="26"/>
          <w:lang w:val="vi-VN"/>
        </w:rPr>
        <w:lastRenderedPageBreak/>
        <w:t>d) Thu lợi bất chính 1</w:t>
      </w:r>
      <w:r w:rsidRPr="000E391A">
        <w:rPr>
          <w:rFonts w:ascii="Arial" w:hAnsi="Arial" w:cs="Arial"/>
          <w:color w:val="000000"/>
          <w:sz w:val="26"/>
          <w:szCs w:val="26"/>
        </w:rPr>
        <w:t>tỷ</w:t>
      </w:r>
      <w:r w:rsidRPr="000E391A">
        <w:rPr>
          <w:rFonts w:ascii="Arial" w:hAnsi="Arial" w:cs="Arial"/>
          <w:color w:val="000000"/>
          <w:sz w:val="26"/>
          <w:szCs w:val="26"/>
          <w:lang w:val="vi-VN"/>
        </w:rPr>
        <w:t xml:space="preserve"> đồng trở lên.</w:t>
      </w:r>
    </w:p>
    <w:p w:rsidR="000E391A" w:rsidRPr="000E391A" w:rsidRDefault="000E391A" w:rsidP="000E391A">
      <w:pPr>
        <w:spacing w:before="40" w:after="40"/>
        <w:ind w:firstLine="709"/>
        <w:jc w:val="both"/>
        <w:rPr>
          <w:rFonts w:ascii="Arial" w:hAnsi="Arial" w:cs="Arial"/>
          <w:b/>
          <w:sz w:val="26"/>
          <w:szCs w:val="26"/>
        </w:rPr>
      </w:pPr>
      <w:r w:rsidRPr="000E391A">
        <w:rPr>
          <w:rFonts w:ascii="Arial" w:hAnsi="Arial" w:cs="Arial"/>
          <w:b/>
          <w:sz w:val="26"/>
          <w:szCs w:val="26"/>
          <w:lang w:val="vi-VN"/>
        </w:rPr>
        <w:t>5. Người phạm tội còn có thể bị phạt tiền từ 20</w:t>
      </w:r>
      <w:r w:rsidRPr="000E391A">
        <w:rPr>
          <w:rFonts w:ascii="Arial" w:hAnsi="Arial" w:cs="Arial"/>
          <w:b/>
          <w:sz w:val="26"/>
          <w:szCs w:val="26"/>
        </w:rPr>
        <w:t xml:space="preserve"> triệu</w:t>
      </w:r>
      <w:r w:rsidRPr="000E391A">
        <w:rPr>
          <w:rFonts w:ascii="Arial" w:hAnsi="Arial" w:cs="Arial"/>
          <w:b/>
          <w:sz w:val="26"/>
          <w:szCs w:val="26"/>
          <w:lang w:val="vi-VN"/>
        </w:rPr>
        <w:t xml:space="preserve"> đồng đến 100</w:t>
      </w:r>
      <w:r w:rsidRPr="000E391A">
        <w:rPr>
          <w:rFonts w:ascii="Arial" w:hAnsi="Arial" w:cs="Arial"/>
          <w:b/>
          <w:sz w:val="26"/>
          <w:szCs w:val="26"/>
        </w:rPr>
        <w:t xml:space="preserve"> triệu</w:t>
      </w:r>
      <w:r w:rsidRPr="000E391A">
        <w:rPr>
          <w:rFonts w:ascii="Arial" w:hAnsi="Arial" w:cs="Arial"/>
          <w:b/>
          <w:sz w:val="26"/>
          <w:szCs w:val="26"/>
          <w:lang w:val="vi-VN"/>
        </w:rPr>
        <w:t xml:space="preserve"> đồng, cấm đảm nhiệm chức vụ, cấm hành nghề hoặc làm công việc nhất định từ 01 năm đến 05 năm.</w:t>
      </w:r>
    </w:p>
    <w:p w:rsidR="000E391A" w:rsidRPr="000E391A" w:rsidRDefault="000E391A" w:rsidP="000E391A">
      <w:pPr>
        <w:ind w:firstLine="709"/>
        <w:jc w:val="both"/>
        <w:rPr>
          <w:rFonts w:ascii="Arial" w:hAnsi="Arial" w:cs="Arial"/>
          <w:b/>
          <w:sz w:val="26"/>
          <w:szCs w:val="26"/>
        </w:rPr>
      </w:pPr>
      <w:r w:rsidRPr="000E391A">
        <w:rPr>
          <w:rFonts w:ascii="Arial" w:hAnsi="Arial" w:cs="Arial"/>
          <w:b/>
          <w:noProof/>
          <w:sz w:val="26"/>
          <w:szCs w:val="26"/>
        </w:rPr>
        <mc:AlternateContent>
          <mc:Choice Requires="wps">
            <w:drawing>
              <wp:anchor distT="0" distB="0" distL="114300" distR="114300" simplePos="0" relativeHeight="251659264" behindDoc="0" locked="0" layoutInCell="1" allowOverlap="1" wp14:anchorId="3B7880C5" wp14:editId="18F0D13F">
                <wp:simplePos x="0" y="0"/>
                <wp:positionH relativeFrom="column">
                  <wp:posOffset>2226310</wp:posOffset>
                </wp:positionH>
                <wp:positionV relativeFrom="paragraph">
                  <wp:posOffset>74295</wp:posOffset>
                </wp:positionV>
                <wp:extent cx="1682115" cy="0"/>
                <wp:effectExtent l="16510" t="17145" r="1587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5.3pt;margin-top:5.85pt;width:13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" strokeweight="1.5pt"/>
            </w:pict>
          </mc:Fallback>
        </mc:AlternateContent>
      </w:r>
    </w:p>
    <w:p w:rsidR="000E391A" w:rsidRPr="000E391A" w:rsidRDefault="000E391A" w:rsidP="000E391A">
      <w:pPr>
        <w:spacing w:after="40"/>
        <w:jc w:val="center"/>
        <w:rPr>
          <w:rFonts w:ascii="Arial" w:hAnsi="Arial" w:cs="Arial"/>
          <w:b/>
          <w:sz w:val="26"/>
          <w:szCs w:val="26"/>
        </w:rPr>
      </w:pPr>
      <w:r w:rsidRPr="000E391A">
        <w:rPr>
          <w:rFonts w:ascii="Arial" w:hAnsi="Arial" w:cs="Arial"/>
          <w:b/>
          <w:sz w:val="26"/>
          <w:szCs w:val="26"/>
        </w:rPr>
        <w:t>MỘT SỐ CHẤT CẤM SỬ DỤNG TRONG</w:t>
      </w:r>
    </w:p>
    <w:p w:rsidR="000E391A" w:rsidRPr="000E391A" w:rsidRDefault="000E391A" w:rsidP="000E391A">
      <w:pPr>
        <w:spacing w:after="40"/>
        <w:jc w:val="center"/>
        <w:rPr>
          <w:rFonts w:ascii="Arial" w:hAnsi="Arial" w:cs="Arial"/>
          <w:b/>
          <w:sz w:val="26"/>
          <w:szCs w:val="26"/>
        </w:rPr>
      </w:pPr>
      <w:r w:rsidRPr="000E391A">
        <w:rPr>
          <w:rFonts w:ascii="Arial" w:hAnsi="Arial" w:cs="Arial"/>
          <w:b/>
          <w:sz w:val="26"/>
          <w:szCs w:val="26"/>
        </w:rPr>
        <w:t>TRỒNG TRỌT, CHĂN NUÔI, NUÔI TRỒNG THỦY SẢN</w:t>
      </w:r>
    </w:p>
    <w:p w:rsidR="000E391A" w:rsidRPr="000E391A" w:rsidRDefault="000E391A" w:rsidP="000E391A">
      <w:pPr>
        <w:spacing w:after="40"/>
        <w:jc w:val="center"/>
        <w:rPr>
          <w:rFonts w:ascii="Arial" w:hAnsi="Arial" w:cs="Arial"/>
          <w:b/>
          <w:sz w:val="26"/>
          <w:szCs w:val="26"/>
        </w:rPr>
      </w:pPr>
      <w:r w:rsidRPr="000E391A">
        <w:rPr>
          <w:rFonts w:ascii="Arial" w:hAnsi="Arial" w:cs="Arial"/>
          <w:b/>
          <w:sz w:val="26"/>
          <w:szCs w:val="26"/>
        </w:rPr>
        <w:t>SƠ CHẾ, CHẾ BIẾN, BẢO QUẢN THỰC PHẨM</w:t>
      </w:r>
    </w:p>
    <w:p w:rsidR="000E391A" w:rsidRPr="000E391A" w:rsidRDefault="000E391A" w:rsidP="000E391A">
      <w:pPr>
        <w:spacing w:before="120" w:after="40"/>
        <w:ind w:firstLine="720"/>
        <w:jc w:val="both"/>
        <w:rPr>
          <w:rFonts w:ascii="Arial" w:hAnsi="Arial" w:cs="Arial"/>
          <w:sz w:val="26"/>
          <w:szCs w:val="26"/>
        </w:rPr>
      </w:pPr>
      <w:r w:rsidRPr="000E391A">
        <w:rPr>
          <w:rFonts w:ascii="Arial" w:hAnsi="Arial" w:cs="Arial"/>
          <w:b/>
          <w:sz w:val="26"/>
          <w:szCs w:val="26"/>
        </w:rPr>
        <w:t xml:space="preserve">+ Trong trồng trọt </w:t>
      </w:r>
      <w:r w:rsidRPr="000E391A">
        <w:rPr>
          <w:rFonts w:ascii="Arial" w:hAnsi="Arial" w:cs="Arial"/>
          <w:i/>
          <w:sz w:val="26"/>
          <w:szCs w:val="26"/>
        </w:rPr>
        <w:t>(theo Thông tư số 03/2015/TT-BNNPTNT)</w:t>
      </w:r>
      <w:r w:rsidRPr="000E391A">
        <w:rPr>
          <w:rFonts w:ascii="Arial" w:hAnsi="Arial" w:cs="Arial"/>
          <w:b/>
          <w:sz w:val="26"/>
          <w:szCs w:val="26"/>
        </w:rPr>
        <w:t>:</w:t>
      </w:r>
      <w:r w:rsidRPr="000E391A">
        <w:rPr>
          <w:rFonts w:ascii="Arial" w:hAnsi="Arial" w:cs="Arial"/>
          <w:sz w:val="26"/>
          <w:szCs w:val="26"/>
        </w:rPr>
        <w:t xml:space="preserve"> Aldrin, DDT, Endosulfan, Endrin, Heptachlor, Methamidophos, Parathion Ethyl, Monocrotophos, Methyl Parathion, Chlordimeform, Captan, Captafol, Hexachlorobenzene, Cadmium, compound (Cd), Chlordane, Isobenzen.</w:t>
      </w:r>
    </w:p>
    <w:p w:rsidR="000E391A" w:rsidRPr="000E391A" w:rsidRDefault="000E391A" w:rsidP="000E391A">
      <w:pPr>
        <w:spacing w:before="40" w:after="40"/>
        <w:ind w:firstLine="720"/>
        <w:jc w:val="both"/>
        <w:rPr>
          <w:rFonts w:ascii="Arial" w:hAnsi="Arial" w:cs="Arial"/>
          <w:sz w:val="26"/>
          <w:szCs w:val="26"/>
        </w:rPr>
      </w:pPr>
      <w:r w:rsidRPr="000E391A">
        <w:rPr>
          <w:rFonts w:ascii="Arial" w:hAnsi="Arial" w:cs="Arial"/>
          <w:b/>
          <w:sz w:val="26"/>
          <w:szCs w:val="26"/>
        </w:rPr>
        <w:t>+ Trong chăn nuôi:</w:t>
      </w:r>
      <w:r w:rsidRPr="000E391A">
        <w:rPr>
          <w:rFonts w:ascii="Arial" w:hAnsi="Arial" w:cs="Arial"/>
          <w:sz w:val="26"/>
          <w:szCs w:val="26"/>
        </w:rPr>
        <w:t xml:space="preserve"> </w:t>
      </w:r>
    </w:p>
    <w:p w:rsidR="000E391A" w:rsidRPr="000E391A" w:rsidRDefault="000E391A" w:rsidP="000E391A">
      <w:pPr>
        <w:spacing w:before="40" w:after="40"/>
        <w:ind w:firstLine="720"/>
        <w:jc w:val="both"/>
        <w:rPr>
          <w:rFonts w:ascii="Arial" w:hAnsi="Arial" w:cs="Arial"/>
          <w:sz w:val="26"/>
          <w:szCs w:val="26"/>
        </w:rPr>
      </w:pPr>
      <w:r w:rsidRPr="000E391A">
        <w:rPr>
          <w:rFonts w:ascii="Arial" w:hAnsi="Arial" w:cs="Arial"/>
          <w:sz w:val="26"/>
          <w:szCs w:val="26"/>
        </w:rPr>
        <w:t xml:space="preserve">- </w:t>
      </w:r>
      <w:r w:rsidRPr="000E391A">
        <w:rPr>
          <w:rFonts w:ascii="Arial" w:hAnsi="Arial" w:cs="Arial"/>
          <w:b/>
          <w:i/>
          <w:sz w:val="26"/>
          <w:szCs w:val="26"/>
        </w:rPr>
        <w:t>Danh mục thuốc, hóa chất, kháng sinh cấm sử dụng trong</w:t>
      </w:r>
      <w:r w:rsidRPr="000E391A">
        <w:rPr>
          <w:rFonts w:ascii="Arial" w:hAnsi="Arial" w:cs="Arial"/>
          <w:sz w:val="26"/>
          <w:szCs w:val="26"/>
        </w:rPr>
        <w:t xml:space="preserve"> </w:t>
      </w:r>
      <w:r w:rsidRPr="000E391A">
        <w:rPr>
          <w:rFonts w:ascii="Arial" w:hAnsi="Arial" w:cs="Arial"/>
          <w:b/>
          <w:i/>
          <w:sz w:val="26"/>
          <w:szCs w:val="26"/>
        </w:rPr>
        <w:t>sản xuất, kinh doanh</w:t>
      </w:r>
      <w:r w:rsidRPr="000E391A">
        <w:rPr>
          <w:rFonts w:ascii="Arial" w:hAnsi="Arial" w:cs="Arial"/>
          <w:sz w:val="26"/>
          <w:szCs w:val="26"/>
        </w:rPr>
        <w:t xml:space="preserve"> </w:t>
      </w:r>
      <w:r w:rsidRPr="000E391A">
        <w:rPr>
          <w:rFonts w:ascii="Arial" w:hAnsi="Arial" w:cs="Arial"/>
          <w:i/>
          <w:sz w:val="26"/>
          <w:szCs w:val="26"/>
        </w:rPr>
        <w:t>(theo Văn bản hợp nhất số 08/VBHN-BNNPTNT)</w:t>
      </w:r>
      <w:r w:rsidRPr="000E391A">
        <w:rPr>
          <w:rFonts w:ascii="Arial" w:hAnsi="Arial" w:cs="Arial"/>
          <w:sz w:val="26"/>
          <w:szCs w:val="26"/>
        </w:rPr>
        <w:t>: Chloramphenicol, Furazolidon, Nitrofuran , Dimetridazole, Dipterex; Dichlorvos; Dichlorovos, Eprofloxacin, Ciprofloxacin, Ofloxacin, Carbadox, Olaquidox, Bacitracin Zn, Green Malachite, Gentian Violet.</w:t>
      </w:r>
    </w:p>
    <w:p w:rsidR="000E391A" w:rsidRPr="000E391A" w:rsidRDefault="000E391A" w:rsidP="000E391A">
      <w:pPr>
        <w:spacing w:before="40" w:after="40"/>
        <w:ind w:firstLine="720"/>
        <w:jc w:val="both"/>
        <w:rPr>
          <w:rFonts w:ascii="Arial" w:hAnsi="Arial" w:cs="Arial"/>
          <w:sz w:val="26"/>
          <w:szCs w:val="26"/>
        </w:rPr>
      </w:pPr>
      <w:r w:rsidRPr="000E391A">
        <w:rPr>
          <w:rFonts w:ascii="Arial" w:hAnsi="Arial" w:cs="Arial"/>
          <w:sz w:val="26"/>
          <w:szCs w:val="26"/>
        </w:rPr>
        <w:t xml:space="preserve">- </w:t>
      </w:r>
      <w:r w:rsidRPr="000E391A">
        <w:rPr>
          <w:rFonts w:ascii="Arial" w:hAnsi="Arial" w:cs="Arial"/>
          <w:b/>
          <w:i/>
          <w:sz w:val="26"/>
          <w:szCs w:val="26"/>
        </w:rPr>
        <w:t>Danh mục hóa chất, kháng sinh cấm nhập khẩu, sản xuất, kinh doanh và sử dụng trong thức ăn chăn nuôi</w:t>
      </w:r>
      <w:r w:rsidRPr="000E391A">
        <w:rPr>
          <w:rFonts w:ascii="Arial" w:hAnsi="Arial" w:cs="Arial"/>
          <w:sz w:val="26"/>
          <w:szCs w:val="26"/>
        </w:rPr>
        <w:t xml:space="preserve"> </w:t>
      </w:r>
      <w:r w:rsidRPr="000E391A">
        <w:rPr>
          <w:rFonts w:ascii="Arial" w:hAnsi="Arial" w:cs="Arial"/>
          <w:b/>
          <w:i/>
          <w:sz w:val="26"/>
          <w:szCs w:val="26"/>
        </w:rPr>
        <w:t xml:space="preserve">gia súc, gia cầm </w:t>
      </w:r>
      <w:r w:rsidRPr="000E391A">
        <w:rPr>
          <w:rFonts w:ascii="Arial" w:hAnsi="Arial" w:cs="Arial"/>
          <w:i/>
          <w:sz w:val="26"/>
          <w:szCs w:val="26"/>
        </w:rPr>
        <w:t>(theo Thông tư số 57/2012/TT-BNNPTNT, Thông tư số 01/2016/TT-BNNPTNT, Thông tư số 28/2014/TT-BNNPTNT, Thông tư số 42/2015/TT-BNNPTNT):</w:t>
      </w:r>
      <w:r w:rsidRPr="000E391A">
        <w:rPr>
          <w:rFonts w:ascii="Arial" w:hAnsi="Arial" w:cs="Arial"/>
          <w:sz w:val="26"/>
          <w:szCs w:val="26"/>
        </w:rPr>
        <w:t xml:space="preserve"> Nhóm Beta – agonis (Clenbuterol, Salbutamol và Ractopamine), Vat Yellow 1 (tên gọi khác: flavanthrone, flavanthrene, sandothrene), </w:t>
      </w:r>
      <w:r w:rsidRPr="000E391A">
        <w:rPr>
          <w:rFonts w:ascii="Arial" w:hAnsi="Arial" w:cs="Arial"/>
          <w:sz w:val="26"/>
          <w:szCs w:val="26"/>
          <w:lang w:val="vi-VN"/>
        </w:rPr>
        <w:t>Vat Yellow 2</w:t>
      </w:r>
      <w:r w:rsidRPr="000E391A">
        <w:rPr>
          <w:rFonts w:ascii="Arial" w:hAnsi="Arial" w:cs="Arial"/>
          <w:sz w:val="26"/>
          <w:szCs w:val="26"/>
        </w:rPr>
        <w:t xml:space="preserve"> (</w:t>
      </w:r>
      <w:r w:rsidRPr="000E391A">
        <w:rPr>
          <w:rFonts w:ascii="Arial" w:hAnsi="Arial" w:cs="Arial"/>
          <w:sz w:val="26"/>
          <w:szCs w:val="26"/>
          <w:lang w:val="vi-VN"/>
        </w:rPr>
        <w:t xml:space="preserve">tên gọi </w:t>
      </w:r>
      <w:r w:rsidRPr="000E391A">
        <w:rPr>
          <w:rFonts w:ascii="Arial" w:hAnsi="Arial" w:cs="Arial"/>
          <w:sz w:val="26"/>
          <w:szCs w:val="26"/>
        </w:rPr>
        <w:t>khác: Indanthrene), Vat Yellow 3 (tên gọi khác: Mikethrene), Vat Yellow 4 (tên gọi khác: Dibenzochrysenedione, Dibenzpyrenequinone), Auramine (tên gọi khác: yellow pyoctanine; glauramine), Carbuterol, Cimaterol, Chloramphenicol, Diethylstilbestrol (DES), Dimetridazole, Fenoterol, Nitrofuran, Furazolidon, Isoxuprin, Methyl-testosterone, Metronidazole, 19 Nor-testosterone, Terbutaline, Stilbenes, Trenbolone, Zeranol, Melamine, Bacitracin Zn, Carbadox, Olaquidox.</w:t>
      </w:r>
    </w:p>
    <w:p w:rsidR="000E391A" w:rsidRPr="000E391A" w:rsidRDefault="000E391A" w:rsidP="000E391A">
      <w:pPr>
        <w:spacing w:before="40" w:after="40"/>
        <w:ind w:firstLine="720"/>
        <w:jc w:val="both"/>
        <w:rPr>
          <w:rFonts w:ascii="Arial" w:hAnsi="Arial" w:cs="Arial"/>
          <w:sz w:val="26"/>
          <w:szCs w:val="26"/>
        </w:rPr>
      </w:pPr>
      <w:r w:rsidRPr="000E391A">
        <w:rPr>
          <w:rFonts w:ascii="Arial" w:hAnsi="Arial" w:cs="Arial"/>
          <w:b/>
          <w:sz w:val="26"/>
          <w:szCs w:val="26"/>
        </w:rPr>
        <w:t>+ Trong nuôi trồng thủy sản:</w:t>
      </w:r>
      <w:r w:rsidRPr="000E391A">
        <w:rPr>
          <w:rFonts w:ascii="Arial" w:hAnsi="Arial" w:cs="Arial"/>
          <w:sz w:val="26"/>
          <w:szCs w:val="26"/>
        </w:rPr>
        <w:t xml:space="preserve"> Chloramphenicol, Aristolochia, Ronidazole, Green Malachite (Xanh Malachite), Ipronidazole, Nitrofuran, Nitroimidazole, Clenbuterol, Diethylstilbestrol, Glycopeptides, Trichlorfon, Gentian Violet, Trifluralin, Cypermethrim, Deltamethrin, Enrofloxacin, Nhóm Fluoroquinolones.</w:t>
      </w:r>
    </w:p>
    <w:p w:rsidR="000E391A" w:rsidRPr="000E391A" w:rsidRDefault="000E391A" w:rsidP="000E391A">
      <w:pPr>
        <w:spacing w:before="40" w:after="40"/>
        <w:ind w:firstLine="720"/>
        <w:jc w:val="both"/>
        <w:rPr>
          <w:rFonts w:ascii="Arial" w:hAnsi="Arial" w:cs="Arial"/>
          <w:b/>
          <w:i/>
          <w:sz w:val="26"/>
          <w:szCs w:val="26"/>
        </w:rPr>
      </w:pPr>
      <w:r w:rsidRPr="000E391A">
        <w:rPr>
          <w:rFonts w:ascii="Arial" w:hAnsi="Arial" w:cs="Arial"/>
          <w:b/>
          <w:sz w:val="26"/>
          <w:szCs w:val="26"/>
        </w:rPr>
        <w:lastRenderedPageBreak/>
        <w:t>- Trong sơ chế, chế biến, bảo quản thực phẩm:</w:t>
      </w:r>
      <w:r w:rsidRPr="000E391A">
        <w:rPr>
          <w:rFonts w:ascii="Arial" w:hAnsi="Arial" w:cs="Arial"/>
          <w:sz w:val="26"/>
          <w:szCs w:val="26"/>
        </w:rPr>
        <w:t xml:space="preserve"> </w:t>
      </w:r>
      <w:r w:rsidRPr="000E391A">
        <w:rPr>
          <w:rFonts w:ascii="Arial" w:hAnsi="Arial" w:cs="Arial"/>
          <w:b/>
          <w:i/>
          <w:sz w:val="26"/>
          <w:szCs w:val="26"/>
        </w:rPr>
        <w:t>Cấm sử dụng phụ gia thực phẩm không có trong danh mục chất phụ gia thực phẩm được phép sử dụng quy định tại Phụ lục 1 được ban hành kèm Thông tư số 02/VBHN-BYT ngày 15/6/2015 của Bộ Y tế Hướng dẫn việc quản lý phụ gia thực phẩm như Borac (hàn the), Formol, Urê…</w:t>
      </w:r>
    </w:p>
    <w:p w:rsidR="0053487F" w:rsidRPr="00AE2F03" w:rsidRDefault="00AE2F03" w:rsidP="00AE2F03">
      <w:pPr>
        <w:spacing w:before="100" w:beforeAutospacing="1" w:after="100" w:afterAutospacing="1" w:line="240" w:lineRule="auto"/>
        <w:jc w:val="right"/>
        <w:rPr>
          <w:rFonts w:ascii="Arial" w:eastAsia="Times New Roman" w:hAnsi="Arial" w:cs="Arial"/>
          <w:i/>
          <w:sz w:val="24"/>
          <w:szCs w:val="26"/>
        </w:rPr>
      </w:pPr>
      <w:r w:rsidRPr="00AE2F03">
        <w:rPr>
          <w:rFonts w:ascii="Arial" w:eastAsia="Times New Roman" w:hAnsi="Arial" w:cs="Arial"/>
          <w:i/>
          <w:sz w:val="24"/>
          <w:szCs w:val="26"/>
        </w:rPr>
        <w:t>Lê Hồng Sơn – Chi cục Quản lý chất lượng nông lâm sản và thủy sản</w:t>
      </w:r>
    </w:p>
    <w:sectPr w:rsidR="0053487F" w:rsidRPr="00AE2F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82" w:rsidRDefault="00D97782" w:rsidP="00E70800">
      <w:pPr>
        <w:spacing w:after="0" w:line="240" w:lineRule="auto"/>
      </w:pPr>
      <w:r>
        <w:separator/>
      </w:r>
    </w:p>
  </w:endnote>
  <w:endnote w:type="continuationSeparator" w:id="0">
    <w:p w:rsidR="00D97782" w:rsidRDefault="00D97782" w:rsidP="00E7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517340"/>
      <w:docPartObj>
        <w:docPartGallery w:val="Page Numbers (Bottom of Page)"/>
        <w:docPartUnique/>
      </w:docPartObj>
    </w:sdtPr>
    <w:sdtEndPr>
      <w:rPr>
        <w:noProof/>
      </w:rPr>
    </w:sdtEndPr>
    <w:sdtContent>
      <w:p w:rsidR="00E70800" w:rsidRDefault="00E708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70800" w:rsidRDefault="00E70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82" w:rsidRDefault="00D97782" w:rsidP="00E70800">
      <w:pPr>
        <w:spacing w:after="0" w:line="240" w:lineRule="auto"/>
      </w:pPr>
      <w:r>
        <w:separator/>
      </w:r>
    </w:p>
  </w:footnote>
  <w:footnote w:type="continuationSeparator" w:id="0">
    <w:p w:rsidR="00D97782" w:rsidRDefault="00D97782" w:rsidP="00E70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0563"/>
    <w:multiLevelType w:val="multilevel"/>
    <w:tmpl w:val="98C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5C"/>
    <w:rsid w:val="000E391A"/>
    <w:rsid w:val="001613BB"/>
    <w:rsid w:val="00314DB3"/>
    <w:rsid w:val="0053487F"/>
    <w:rsid w:val="00564C4E"/>
    <w:rsid w:val="00681A58"/>
    <w:rsid w:val="00704A0B"/>
    <w:rsid w:val="0072435C"/>
    <w:rsid w:val="008065A3"/>
    <w:rsid w:val="00942C68"/>
    <w:rsid w:val="00AE2F03"/>
    <w:rsid w:val="00BA6D93"/>
    <w:rsid w:val="00C6398E"/>
    <w:rsid w:val="00C72075"/>
    <w:rsid w:val="00C8753C"/>
    <w:rsid w:val="00D97782"/>
    <w:rsid w:val="00E70800"/>
    <w:rsid w:val="00F45D38"/>
    <w:rsid w:val="00F5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C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C68"/>
    <w:rPr>
      <w:rFonts w:ascii="Times New Roman" w:eastAsia="Times New Roman" w:hAnsi="Times New Roman" w:cs="Times New Roman"/>
      <w:b/>
      <w:bCs/>
      <w:kern w:val="36"/>
      <w:sz w:val="48"/>
      <w:szCs w:val="48"/>
    </w:rPr>
  </w:style>
  <w:style w:type="character" w:customStyle="1" w:styleId="clink">
    <w:name w:val="clink"/>
    <w:basedOn w:val="DefaultParagraphFont"/>
    <w:rsid w:val="00942C68"/>
  </w:style>
  <w:style w:type="character" w:styleId="Hyperlink">
    <w:name w:val="Hyperlink"/>
    <w:basedOn w:val="DefaultParagraphFont"/>
    <w:uiPriority w:val="99"/>
    <w:semiHidden/>
    <w:unhideWhenUsed/>
    <w:rsid w:val="00942C68"/>
    <w:rPr>
      <w:color w:val="0000FF"/>
      <w:u w:val="single"/>
    </w:rPr>
  </w:style>
  <w:style w:type="paragraph" w:customStyle="1" w:styleId="fontd">
    <w:name w:val="fontd"/>
    <w:basedOn w:val="Normal"/>
    <w:rsid w:val="00942C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2C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2C68"/>
    <w:rPr>
      <w:i/>
      <w:iCs/>
    </w:rPr>
  </w:style>
  <w:style w:type="character" w:styleId="Strong">
    <w:name w:val="Strong"/>
    <w:basedOn w:val="DefaultParagraphFont"/>
    <w:uiPriority w:val="22"/>
    <w:qFormat/>
    <w:rsid w:val="00942C68"/>
    <w:rPr>
      <w:b/>
      <w:bCs/>
    </w:rPr>
  </w:style>
  <w:style w:type="paragraph" w:styleId="BalloonText">
    <w:name w:val="Balloon Text"/>
    <w:basedOn w:val="Normal"/>
    <w:link w:val="BalloonTextChar"/>
    <w:uiPriority w:val="99"/>
    <w:semiHidden/>
    <w:unhideWhenUsed/>
    <w:rsid w:val="00942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68"/>
    <w:rPr>
      <w:rFonts w:ascii="Tahoma" w:hAnsi="Tahoma" w:cs="Tahoma"/>
      <w:sz w:val="16"/>
      <w:szCs w:val="16"/>
    </w:rPr>
  </w:style>
  <w:style w:type="paragraph" w:styleId="ListParagraph">
    <w:name w:val="List Paragraph"/>
    <w:basedOn w:val="Normal"/>
    <w:uiPriority w:val="34"/>
    <w:qFormat/>
    <w:rsid w:val="00681A58"/>
    <w:pPr>
      <w:ind w:left="720"/>
      <w:contextualSpacing/>
    </w:pPr>
  </w:style>
  <w:style w:type="paragraph" w:styleId="Header">
    <w:name w:val="header"/>
    <w:basedOn w:val="Normal"/>
    <w:link w:val="HeaderChar"/>
    <w:uiPriority w:val="99"/>
    <w:unhideWhenUsed/>
    <w:rsid w:val="00E70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800"/>
  </w:style>
  <w:style w:type="paragraph" w:styleId="Footer">
    <w:name w:val="footer"/>
    <w:basedOn w:val="Normal"/>
    <w:link w:val="FooterChar"/>
    <w:uiPriority w:val="99"/>
    <w:unhideWhenUsed/>
    <w:rsid w:val="00E70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C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C68"/>
    <w:rPr>
      <w:rFonts w:ascii="Times New Roman" w:eastAsia="Times New Roman" w:hAnsi="Times New Roman" w:cs="Times New Roman"/>
      <w:b/>
      <w:bCs/>
      <w:kern w:val="36"/>
      <w:sz w:val="48"/>
      <w:szCs w:val="48"/>
    </w:rPr>
  </w:style>
  <w:style w:type="character" w:customStyle="1" w:styleId="clink">
    <w:name w:val="clink"/>
    <w:basedOn w:val="DefaultParagraphFont"/>
    <w:rsid w:val="00942C68"/>
  </w:style>
  <w:style w:type="character" w:styleId="Hyperlink">
    <w:name w:val="Hyperlink"/>
    <w:basedOn w:val="DefaultParagraphFont"/>
    <w:uiPriority w:val="99"/>
    <w:semiHidden/>
    <w:unhideWhenUsed/>
    <w:rsid w:val="00942C68"/>
    <w:rPr>
      <w:color w:val="0000FF"/>
      <w:u w:val="single"/>
    </w:rPr>
  </w:style>
  <w:style w:type="paragraph" w:customStyle="1" w:styleId="fontd">
    <w:name w:val="fontd"/>
    <w:basedOn w:val="Normal"/>
    <w:rsid w:val="00942C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2C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2C68"/>
    <w:rPr>
      <w:i/>
      <w:iCs/>
    </w:rPr>
  </w:style>
  <w:style w:type="character" w:styleId="Strong">
    <w:name w:val="Strong"/>
    <w:basedOn w:val="DefaultParagraphFont"/>
    <w:uiPriority w:val="22"/>
    <w:qFormat/>
    <w:rsid w:val="00942C68"/>
    <w:rPr>
      <w:b/>
      <w:bCs/>
    </w:rPr>
  </w:style>
  <w:style w:type="paragraph" w:styleId="BalloonText">
    <w:name w:val="Balloon Text"/>
    <w:basedOn w:val="Normal"/>
    <w:link w:val="BalloonTextChar"/>
    <w:uiPriority w:val="99"/>
    <w:semiHidden/>
    <w:unhideWhenUsed/>
    <w:rsid w:val="00942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68"/>
    <w:rPr>
      <w:rFonts w:ascii="Tahoma" w:hAnsi="Tahoma" w:cs="Tahoma"/>
      <w:sz w:val="16"/>
      <w:szCs w:val="16"/>
    </w:rPr>
  </w:style>
  <w:style w:type="paragraph" w:styleId="ListParagraph">
    <w:name w:val="List Paragraph"/>
    <w:basedOn w:val="Normal"/>
    <w:uiPriority w:val="34"/>
    <w:qFormat/>
    <w:rsid w:val="00681A58"/>
    <w:pPr>
      <w:ind w:left="720"/>
      <w:contextualSpacing/>
    </w:pPr>
  </w:style>
  <w:style w:type="paragraph" w:styleId="Header">
    <w:name w:val="header"/>
    <w:basedOn w:val="Normal"/>
    <w:link w:val="HeaderChar"/>
    <w:uiPriority w:val="99"/>
    <w:unhideWhenUsed/>
    <w:rsid w:val="00E70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800"/>
  </w:style>
  <w:style w:type="paragraph" w:styleId="Footer">
    <w:name w:val="footer"/>
    <w:basedOn w:val="Normal"/>
    <w:link w:val="FooterChar"/>
    <w:uiPriority w:val="99"/>
    <w:unhideWhenUsed/>
    <w:rsid w:val="00E70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8925">
      <w:bodyDiv w:val="1"/>
      <w:marLeft w:val="0"/>
      <w:marRight w:val="0"/>
      <w:marTop w:val="0"/>
      <w:marBottom w:val="0"/>
      <w:divBdr>
        <w:top w:val="none" w:sz="0" w:space="0" w:color="auto"/>
        <w:left w:val="none" w:sz="0" w:space="0" w:color="auto"/>
        <w:bottom w:val="none" w:sz="0" w:space="0" w:color="auto"/>
        <w:right w:val="none" w:sz="0" w:space="0" w:color="auto"/>
      </w:divBdr>
      <w:divsChild>
        <w:div w:id="1750543883">
          <w:marLeft w:val="0"/>
          <w:marRight w:val="0"/>
          <w:marTop w:val="0"/>
          <w:marBottom w:val="0"/>
          <w:divBdr>
            <w:top w:val="none" w:sz="0" w:space="0" w:color="auto"/>
            <w:left w:val="none" w:sz="0" w:space="0" w:color="auto"/>
            <w:bottom w:val="none" w:sz="0" w:space="0" w:color="auto"/>
            <w:right w:val="none" w:sz="0" w:space="0" w:color="auto"/>
          </w:divBdr>
        </w:div>
        <w:div w:id="180121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7CDC6B8F17064D8304FBFAC7F14057" ma:contentTypeVersion="1" ma:contentTypeDescription="Create a new document." ma:contentTypeScope="" ma:versionID="0110da9d567c00106b19f55800f5ad2a">
  <xsd:schema xmlns:xsd="http://www.w3.org/2001/XMLSchema" xmlns:xs="http://www.w3.org/2001/XMLSchema" xmlns:p="http://schemas.microsoft.com/office/2006/metadata/properties" xmlns:ns1="http://schemas.microsoft.com/sharepoint/v3" xmlns:ns2="af0bb25e-b1b4-4f7a-9d9e-505a74d90e93" targetNamespace="http://schemas.microsoft.com/office/2006/metadata/properties" ma:root="true" ma:fieldsID="58de231eba85d12506ba2cbf5130dce9" ns1:_="" ns2:_="">
    <xsd:import namespace="http://schemas.microsoft.com/sharepoint/v3"/>
    <xsd:import namespace="af0bb25e-b1b4-4f7a-9d9e-505a74d90e9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0bb25e-b1b4-4f7a-9d9e-505a74d90e9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f0bb25e-b1b4-4f7a-9d9e-505a74d90e93">2TDFKK4A76MV-6-1129</_dlc_DocId>
    <_dlc_DocIdUrl xmlns="af0bb25e-b1b4-4f7a-9d9e-505a74d90e93">
      <Url>https://snnptnt.longan.gov.vn/_layouts/15/DocIdRedir.aspx?ID=2TDFKK4A76MV-6-1129</Url>
      <Description>2TDFKK4A76MV-6-1129</Description>
    </_dlc_DocIdUrl>
  </documentManagement>
</p:properties>
</file>

<file path=customXml/itemProps1.xml><?xml version="1.0" encoding="utf-8"?>
<ds:datastoreItem xmlns:ds="http://schemas.openxmlformats.org/officeDocument/2006/customXml" ds:itemID="{20C3C3B6-48AE-4EB5-AEB3-ADF902E42DDF}"/>
</file>

<file path=customXml/itemProps2.xml><?xml version="1.0" encoding="utf-8"?>
<ds:datastoreItem xmlns:ds="http://schemas.openxmlformats.org/officeDocument/2006/customXml" ds:itemID="{F86A671F-C0A8-4093-B4E9-F0F651427DCF}"/>
</file>

<file path=customXml/itemProps3.xml><?xml version="1.0" encoding="utf-8"?>
<ds:datastoreItem xmlns:ds="http://schemas.openxmlformats.org/officeDocument/2006/customXml" ds:itemID="{8642FFBD-3A74-4C00-BE95-60693A914C4D}"/>
</file>

<file path=customXml/itemProps4.xml><?xml version="1.0" encoding="utf-8"?>
<ds:datastoreItem xmlns:ds="http://schemas.openxmlformats.org/officeDocument/2006/customXml" ds:itemID="{40F90978-B47C-417A-B6BA-5A95CE7C0337}"/>
</file>

<file path=docProps/app.xml><?xml version="1.0" encoding="utf-8"?>
<Properties xmlns="http://schemas.openxmlformats.org/officeDocument/2006/extended-properties" xmlns:vt="http://schemas.openxmlformats.org/officeDocument/2006/docPropsVTypes">
  <Template>Normal</Template>
  <TotalTime>29</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(0723) 832 909</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2016-04-21T06:55:00Z</dcterms:created>
  <dcterms:modified xsi:type="dcterms:W3CDTF">2016-04-21T09:47:00Z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0x010100947CDC6B8F17064D8304FBFAC7F14057</vt:lpwstr>
  </property>
  <property fmtid="{D5CDD505-2E9C-101B-9397-08002B2CF9AE}" pid="3" name="_dlc_DocIdItemGuid">
    <vt:lpwstr>fa7e28b9-e51b-4a15-961d-4f48de5d12d2</vt:lpwstr>
  </property>
</Properties>
</file>