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59" w:type="dxa"/>
        <w:tblLook w:val="01E0" w:firstRow="1" w:lastRow="1" w:firstColumn="1" w:lastColumn="1" w:noHBand="0" w:noVBand="0"/>
      </w:tblPr>
      <w:tblGrid>
        <w:gridCol w:w="3119"/>
        <w:gridCol w:w="6540"/>
      </w:tblGrid>
      <w:tr w:rsidR="00A61097">
        <w:tc>
          <w:tcPr>
            <w:tcW w:w="3119" w:type="dxa"/>
          </w:tcPr>
          <w:p w:rsidR="00A61097" w:rsidRDefault="00B13B15">
            <w:pPr>
              <w:jc w:val="center"/>
              <w:rPr>
                <w:b/>
                <w:sz w:val="28"/>
                <w:szCs w:val="28"/>
                <w:lang w:val="en-US"/>
              </w:rPr>
            </w:pPr>
            <w:bookmarkStart w:id="0" w:name="_GoBack"/>
            <w:bookmarkEnd w:id="0"/>
            <w:r>
              <w:rPr>
                <w:b/>
                <w:sz w:val="28"/>
                <w:szCs w:val="28"/>
                <w:lang w:val="en-US"/>
              </w:rPr>
              <w:t>ỦY BAN NHÂN DÂN</w:t>
            </w:r>
            <w:r>
              <w:rPr>
                <w:b/>
                <w:sz w:val="28"/>
                <w:szCs w:val="28"/>
              </w:rPr>
              <w:t xml:space="preserve"> </w:t>
            </w:r>
          </w:p>
          <w:p w:rsidR="00A61097" w:rsidRDefault="00B13B15">
            <w:pPr>
              <w:spacing w:line="360" w:lineRule="auto"/>
              <w:jc w:val="center"/>
              <w:rPr>
                <w:sz w:val="28"/>
                <w:szCs w:val="28"/>
              </w:rPr>
            </w:pPr>
            <w:r>
              <w:rPr>
                <w:noProof/>
                <w:sz w:val="28"/>
                <w:szCs w:val="28"/>
                <w:lang w:val="en-US" w:eastAsia="en-US"/>
              </w:rPr>
              <mc:AlternateContent>
                <mc:Choice Requires="wps">
                  <w:drawing>
                    <wp:anchor distT="0" distB="0" distL="114300" distR="114300" simplePos="0" relativeHeight="251659264" behindDoc="0" locked="0" layoutInCell="1" allowOverlap="1">
                      <wp:simplePos x="0" y="0"/>
                      <wp:positionH relativeFrom="column">
                        <wp:posOffset>636270</wp:posOffset>
                      </wp:positionH>
                      <wp:positionV relativeFrom="paragraph">
                        <wp:posOffset>203835</wp:posOffset>
                      </wp:positionV>
                      <wp:extent cx="5715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69FF396"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1pt,16.05pt" to="95.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"/>
                  </w:pict>
                </mc:Fallback>
              </mc:AlternateContent>
            </w:r>
            <w:r>
              <w:rPr>
                <w:b/>
                <w:sz w:val="28"/>
                <w:szCs w:val="28"/>
              </w:rPr>
              <w:t>TỈNH THANH HÓA</w:t>
            </w:r>
          </w:p>
          <w:p w:rsidR="00A61097" w:rsidRDefault="00B13B15">
            <w:pPr>
              <w:spacing w:line="276" w:lineRule="auto"/>
              <w:jc w:val="center"/>
              <w:rPr>
                <w:sz w:val="28"/>
                <w:szCs w:val="28"/>
                <w:lang w:val="en-US"/>
              </w:rPr>
            </w:pPr>
            <w:r>
              <w:rPr>
                <w:sz w:val="28"/>
                <w:szCs w:val="28"/>
              </w:rPr>
              <w:t xml:space="preserve">Số:   </w:t>
            </w:r>
            <w:r>
              <w:rPr>
                <w:sz w:val="28"/>
                <w:szCs w:val="28"/>
                <w:lang w:val="en-US"/>
              </w:rPr>
              <w:t xml:space="preserve">   </w:t>
            </w:r>
            <w:r>
              <w:rPr>
                <w:sz w:val="28"/>
                <w:szCs w:val="28"/>
              </w:rPr>
              <w:t xml:space="preserve">     </w:t>
            </w:r>
            <w:r>
              <w:rPr>
                <w:sz w:val="28"/>
                <w:szCs w:val="28"/>
                <w:lang w:val="en-US"/>
              </w:rPr>
              <w:t xml:space="preserve"> </w:t>
            </w:r>
            <w:r>
              <w:rPr>
                <w:sz w:val="28"/>
                <w:szCs w:val="28"/>
              </w:rPr>
              <w:t>/TTr-</w:t>
            </w:r>
            <w:r>
              <w:rPr>
                <w:sz w:val="28"/>
                <w:szCs w:val="28"/>
                <w:lang w:val="en-US"/>
              </w:rPr>
              <w:t>UBND</w:t>
            </w:r>
          </w:p>
          <w:p w:rsidR="00A61097" w:rsidRDefault="00B13B15">
            <w:pPr>
              <w:spacing w:line="276" w:lineRule="auto"/>
              <w:jc w:val="center"/>
              <w:rPr>
                <w:b/>
                <w:i/>
                <w:iCs/>
                <w:sz w:val="28"/>
                <w:szCs w:val="28"/>
                <w:lang w:val="en-US"/>
              </w:rPr>
            </w:pPr>
            <w:r>
              <w:rPr>
                <w:b/>
                <w:noProof/>
                <w:sz w:val="28"/>
                <w:szCs w:val="28"/>
                <w:lang w:val="en-US" w:eastAsia="en-US"/>
              </w:rPr>
              <mc:AlternateContent>
                <mc:Choice Requires="wps">
                  <w:drawing>
                    <wp:anchor distT="0" distB="0" distL="114300" distR="114300" simplePos="0" relativeHeight="251663360" behindDoc="0" locked="0" layoutInCell="1" allowOverlap="1">
                      <wp:simplePos x="0" y="0"/>
                      <wp:positionH relativeFrom="margin">
                        <wp:posOffset>394335</wp:posOffset>
                      </wp:positionH>
                      <wp:positionV relativeFrom="paragraph">
                        <wp:posOffset>82550</wp:posOffset>
                      </wp:positionV>
                      <wp:extent cx="1209675" cy="3238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9675" cy="323850"/>
                              </a:xfrm>
                              <a:prstGeom prst="rect">
                                <a:avLst/>
                              </a:prstGeom>
                              <a:solidFill>
                                <a:srgbClr val="FFFFFF"/>
                              </a:solidFill>
                              <a:ln w="9525">
                                <a:solidFill>
                                  <a:srgbClr val="000000"/>
                                </a:solidFill>
                                <a:miter lim="800000"/>
                                <a:headEnd/>
                                <a:tailEnd/>
                              </a:ln>
                            </wps:spPr>
                            <wps:txbx>
                              <w:txbxContent>
                                <w:p w:rsidR="00A61097" w:rsidRDefault="00B13B15">
                                  <w:pPr>
                                    <w:jc w:val="center"/>
                                    <w:rPr>
                                      <w:b/>
                                      <w:bCs/>
                                      <w:sz w:val="28"/>
                                      <w:szCs w:val="28"/>
                                      <w:lang w:val="en-US"/>
                                    </w:rPr>
                                  </w:pPr>
                                  <w:r>
                                    <w:rPr>
                                      <w:b/>
                                      <w:bCs/>
                                      <w:sz w:val="28"/>
                                      <w:szCs w:val="28"/>
                                      <w:lang w:val="en-US"/>
                                    </w:rPr>
                                    <w:t>DỰ THẢO</w:t>
                                  </w:r>
                                </w:p>
                                <w:p w:rsidR="00A61097" w:rsidRDefault="00A61097">
                                  <w:pPr>
                                    <w:rPr>
                                      <w:sz w:val="27"/>
                                      <w:szCs w:val="2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31.05pt;margin-top:6.5pt;width:95.25pt;height:2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">
                      <v:textbox>
                        <w:txbxContent>
                          <w:p w:rsidR="00246197" w:rsidRDefault="00754715">
                            <w:pPr>
                              <w:jc w:val="center"/>
                              <w:rPr>
                                <w:b/>
                                <w:bCs/>
                                <w:sz w:val="28"/>
                                <w:szCs w:val="28"/>
                                <w:lang w:val="en-US"/>
                              </w:rPr>
                            </w:pPr>
                            <w:r>
                              <w:rPr>
                                <w:b/>
                                <w:bCs/>
                                <w:sz w:val="28"/>
                                <w:szCs w:val="28"/>
                                <w:lang w:val="en-US"/>
                              </w:rPr>
                              <w:t>DỰ THẢO</w:t>
                            </w:r>
                          </w:p>
                          <w:p w:rsidR="00246197" w:rsidRDefault="00246197">
                            <w:pPr>
                              <w:rPr>
                                <w:sz w:val="27"/>
                                <w:szCs w:val="27"/>
                              </w:rPr>
                            </w:pPr>
                          </w:p>
                        </w:txbxContent>
                      </v:textbox>
                      <w10:wrap anchorx="margin"/>
                    </v:rect>
                  </w:pict>
                </mc:Fallback>
              </mc:AlternateContent>
            </w:r>
          </w:p>
        </w:tc>
        <w:tc>
          <w:tcPr>
            <w:tcW w:w="6540" w:type="dxa"/>
          </w:tcPr>
          <w:p w:rsidR="00A61097" w:rsidRDefault="00B13B15">
            <w:pPr>
              <w:jc w:val="center"/>
              <w:rPr>
                <w:b/>
                <w:sz w:val="28"/>
                <w:szCs w:val="28"/>
              </w:rPr>
            </w:pPr>
            <w:r>
              <w:rPr>
                <w:b/>
                <w:sz w:val="28"/>
                <w:szCs w:val="28"/>
              </w:rPr>
              <w:t>CỘNG HÒA XÃ HỘI CHỦ NGH</w:t>
            </w:r>
            <w:r>
              <w:rPr>
                <w:b/>
                <w:sz w:val="28"/>
                <w:szCs w:val="28"/>
                <w:lang w:val="en-US"/>
              </w:rPr>
              <w:t xml:space="preserve">ĨA </w:t>
            </w:r>
            <w:r>
              <w:rPr>
                <w:b/>
                <w:sz w:val="28"/>
                <w:szCs w:val="28"/>
              </w:rPr>
              <w:t>VIỆT NAM</w:t>
            </w:r>
          </w:p>
          <w:p w:rsidR="00A61097" w:rsidRDefault="00B13B15">
            <w:pPr>
              <w:spacing w:line="360" w:lineRule="auto"/>
              <w:jc w:val="center"/>
              <w:rPr>
                <w:b/>
                <w:sz w:val="28"/>
                <w:szCs w:val="28"/>
              </w:rPr>
            </w:pPr>
            <w:r>
              <w:rPr>
                <w:noProof/>
                <w:sz w:val="28"/>
                <w:szCs w:val="28"/>
                <w:lang w:val="en-US" w:eastAsia="en-US"/>
              </w:rPr>
              <mc:AlternateContent>
                <mc:Choice Requires="wps">
                  <w:drawing>
                    <wp:anchor distT="0" distB="0" distL="114300" distR="114300" simplePos="0" relativeHeight="251661312" behindDoc="0" locked="0" layoutInCell="1" allowOverlap="1">
                      <wp:simplePos x="0" y="0"/>
                      <wp:positionH relativeFrom="column">
                        <wp:posOffset>933450</wp:posOffset>
                      </wp:positionH>
                      <wp:positionV relativeFrom="paragraph">
                        <wp:posOffset>218653</wp:posOffset>
                      </wp:positionV>
                      <wp:extent cx="2193946" cy="0"/>
                      <wp:effectExtent l="0" t="0" r="158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94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5BE17DD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5pt,17.2pt" to="246.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"/>
                  </w:pict>
                </mc:Fallback>
              </mc:AlternateContent>
            </w:r>
            <w:r>
              <w:rPr>
                <w:b/>
                <w:sz w:val="28"/>
                <w:szCs w:val="28"/>
              </w:rPr>
              <w:t>Độc lập – Tự do – Hạnh phúc</w:t>
            </w:r>
          </w:p>
          <w:p w:rsidR="00A61097" w:rsidRDefault="00B13B15">
            <w:pPr>
              <w:spacing w:line="360" w:lineRule="auto"/>
              <w:jc w:val="center"/>
              <w:rPr>
                <w:i/>
                <w:sz w:val="28"/>
                <w:szCs w:val="28"/>
                <w:lang w:val="en-US"/>
              </w:rPr>
            </w:pPr>
            <w:r>
              <w:rPr>
                <w:i/>
                <w:sz w:val="28"/>
                <w:szCs w:val="28"/>
                <w:lang w:val="en-US"/>
              </w:rPr>
              <w:t>Thanh Hóa</w:t>
            </w:r>
            <w:r>
              <w:rPr>
                <w:i/>
                <w:sz w:val="28"/>
                <w:szCs w:val="28"/>
              </w:rPr>
              <w:t xml:space="preserve">, ngày       tháng </w:t>
            </w:r>
            <w:r>
              <w:rPr>
                <w:i/>
                <w:sz w:val="28"/>
                <w:szCs w:val="28"/>
                <w:lang w:val="en-US"/>
              </w:rPr>
              <w:t xml:space="preserve">    </w:t>
            </w:r>
            <w:r>
              <w:rPr>
                <w:i/>
                <w:sz w:val="28"/>
                <w:szCs w:val="28"/>
              </w:rPr>
              <w:t xml:space="preserve"> năm 20</w:t>
            </w:r>
            <w:r>
              <w:rPr>
                <w:i/>
                <w:sz w:val="28"/>
                <w:szCs w:val="28"/>
                <w:lang w:val="en-US"/>
              </w:rPr>
              <w:t>26</w:t>
            </w:r>
          </w:p>
        </w:tc>
      </w:tr>
    </w:tbl>
    <w:p w:rsidR="00A61097" w:rsidRDefault="00A61097">
      <w:pPr>
        <w:ind w:firstLine="720"/>
        <w:jc w:val="center"/>
        <w:rPr>
          <w:b/>
          <w:sz w:val="28"/>
          <w:szCs w:val="18"/>
        </w:rPr>
      </w:pPr>
    </w:p>
    <w:p w:rsidR="00A61097" w:rsidRDefault="00B13B15">
      <w:pPr>
        <w:jc w:val="center"/>
        <w:rPr>
          <w:b/>
          <w:sz w:val="28"/>
          <w:szCs w:val="28"/>
        </w:rPr>
      </w:pPr>
      <w:r>
        <w:rPr>
          <w:b/>
          <w:sz w:val="28"/>
          <w:szCs w:val="28"/>
        </w:rPr>
        <w:t>TỜ TRÌNH</w:t>
      </w:r>
    </w:p>
    <w:p w:rsidR="00A61097" w:rsidRDefault="00B13B15">
      <w:pPr>
        <w:jc w:val="center"/>
        <w:rPr>
          <w:b/>
          <w:sz w:val="28"/>
          <w:szCs w:val="28"/>
          <w:lang w:val="en-US" w:eastAsia="en-US"/>
        </w:rPr>
      </w:pPr>
      <w:r>
        <w:rPr>
          <w:b/>
          <w:sz w:val="28"/>
          <w:szCs w:val="28"/>
          <w:lang w:val="en-US"/>
        </w:rPr>
        <w:t xml:space="preserve">Dự thảo </w:t>
      </w:r>
      <w:bookmarkStart w:id="1" w:name="_Hlk178687091"/>
      <w:r>
        <w:rPr>
          <w:b/>
          <w:sz w:val="28"/>
          <w:szCs w:val="28"/>
          <w:lang w:val="en-US"/>
        </w:rPr>
        <w:t xml:space="preserve">Nghị quyết </w:t>
      </w:r>
      <w:r>
        <w:rPr>
          <w:b/>
          <w:sz w:val="28"/>
          <w:szCs w:val="28"/>
          <w:lang w:val="en-US" w:eastAsia="en-US"/>
        </w:rPr>
        <w:t xml:space="preserve">quy định mức hỗ trợ giám định viên tư pháp, </w:t>
      </w:r>
    </w:p>
    <w:p w:rsidR="00A61097" w:rsidRDefault="00B13B15">
      <w:pPr>
        <w:jc w:val="center"/>
        <w:rPr>
          <w:b/>
          <w:sz w:val="28"/>
          <w:szCs w:val="28"/>
          <w:lang w:eastAsia="en-US"/>
        </w:rPr>
      </w:pPr>
      <w:proofErr w:type="gramStart"/>
      <w:r>
        <w:rPr>
          <w:b/>
          <w:sz w:val="28"/>
          <w:szCs w:val="28"/>
          <w:lang w:val="en-US" w:eastAsia="en-US"/>
        </w:rPr>
        <w:t>người</w:t>
      </w:r>
      <w:proofErr w:type="gramEnd"/>
      <w:r>
        <w:rPr>
          <w:b/>
          <w:sz w:val="28"/>
          <w:szCs w:val="28"/>
          <w:lang w:val="en-US" w:eastAsia="en-US"/>
        </w:rPr>
        <w:t xml:space="preserve"> giám định tư pháp theo vụ việc trên địa bàn tỉnh </w:t>
      </w:r>
      <w:r>
        <w:rPr>
          <w:b/>
          <w:sz w:val="28"/>
          <w:szCs w:val="28"/>
          <w:lang w:eastAsia="en-US"/>
        </w:rPr>
        <w:t>Thanh Hóa</w:t>
      </w:r>
    </w:p>
    <w:bookmarkEnd w:id="1"/>
    <w:p w:rsidR="00A61097" w:rsidRDefault="00B13B15">
      <w:pPr>
        <w:jc w:val="center"/>
        <w:rPr>
          <w:b/>
          <w:sz w:val="36"/>
          <w:szCs w:val="22"/>
          <w:lang w:val="en-US" w:eastAsia="en-US"/>
        </w:rPr>
      </w:pPr>
      <w:r>
        <w:rPr>
          <w:b/>
          <w:noProof/>
          <w:sz w:val="36"/>
          <w:szCs w:val="22"/>
          <w:lang w:val="en-US" w:eastAsia="en-US"/>
        </w:rPr>
        <mc:AlternateContent>
          <mc:Choice Requires="wps">
            <w:drawing>
              <wp:anchor distT="0" distB="0" distL="114300" distR="114300" simplePos="0" relativeHeight="251664384" behindDoc="0" locked="0" layoutInCell="1" allowOverlap="1">
                <wp:simplePos x="0" y="0"/>
                <wp:positionH relativeFrom="column">
                  <wp:posOffset>1797338</wp:posOffset>
                </wp:positionH>
                <wp:positionV relativeFrom="paragraph">
                  <wp:posOffset>57900</wp:posOffset>
                </wp:positionV>
                <wp:extent cx="1986741" cy="0"/>
                <wp:effectExtent l="0" t="0" r="13970" b="19050"/>
                <wp:wrapNone/>
                <wp:docPr id="1" name="Straight Connector 1"/>
                <wp:cNvGraphicFramePr/>
                <a:graphic xmlns:a="http://schemas.openxmlformats.org/drawingml/2006/main">
                  <a:graphicData uri="http://schemas.microsoft.com/office/word/2010/wordprocessingShape">
                    <wps:wsp>
                      <wps:cNvCnPr/>
                      <wps:spPr>
                        <a:xfrm>
                          <a:off x="0" y="0"/>
                          <a:ext cx="198674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41.5pt,4.55pt" to="297.9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" strokecolor="black [3040]"/>
            </w:pict>
          </mc:Fallback>
        </mc:AlternateContent>
      </w:r>
    </w:p>
    <w:p w:rsidR="00A61097" w:rsidRDefault="00B13B15">
      <w:pPr>
        <w:spacing w:before="120" w:after="120"/>
        <w:jc w:val="both"/>
        <w:rPr>
          <w:sz w:val="28"/>
          <w:szCs w:val="28"/>
        </w:rPr>
      </w:pPr>
      <w:r>
        <w:rPr>
          <w:sz w:val="28"/>
          <w:szCs w:val="28"/>
          <w:lang w:val="en-US"/>
        </w:rPr>
        <w:t xml:space="preserve">                                </w:t>
      </w:r>
      <w:r>
        <w:rPr>
          <w:sz w:val="28"/>
          <w:szCs w:val="28"/>
        </w:rPr>
        <w:t xml:space="preserve">Kính gửi: </w:t>
      </w:r>
      <w:r>
        <w:rPr>
          <w:sz w:val="28"/>
          <w:szCs w:val="28"/>
          <w:lang w:val="en-US"/>
        </w:rPr>
        <w:t xml:space="preserve">Hội đồng nhân dân </w:t>
      </w:r>
      <w:r>
        <w:rPr>
          <w:sz w:val="28"/>
          <w:szCs w:val="28"/>
        </w:rPr>
        <w:t>tỉnh</w:t>
      </w:r>
      <w:r>
        <w:rPr>
          <w:sz w:val="28"/>
          <w:szCs w:val="28"/>
          <w:lang w:val="en-US"/>
        </w:rPr>
        <w:t xml:space="preserve"> </w:t>
      </w:r>
      <w:r>
        <w:rPr>
          <w:sz w:val="28"/>
          <w:szCs w:val="28"/>
        </w:rPr>
        <w:t>Thanh Hóa</w:t>
      </w:r>
    </w:p>
    <w:p w:rsidR="00A61097" w:rsidRDefault="00A61097">
      <w:pPr>
        <w:spacing w:before="120" w:after="120"/>
        <w:jc w:val="both"/>
        <w:rPr>
          <w:sz w:val="30"/>
          <w:szCs w:val="26"/>
          <w:lang w:val="en-US"/>
        </w:rPr>
      </w:pPr>
    </w:p>
    <w:p w:rsidR="00A61097" w:rsidRDefault="00B13B15">
      <w:pPr>
        <w:pStyle w:val="NormalWeb"/>
        <w:spacing w:before="60" w:beforeAutospacing="0" w:after="0" w:afterAutospacing="0" w:line="264" w:lineRule="auto"/>
        <w:ind w:firstLine="567"/>
        <w:jc w:val="both"/>
        <w:rPr>
          <w:spacing w:val="-2"/>
          <w:sz w:val="28"/>
          <w:szCs w:val="28"/>
        </w:rPr>
      </w:pPr>
      <w:r>
        <w:rPr>
          <w:spacing w:val="-2"/>
          <w:sz w:val="28"/>
          <w:szCs w:val="28"/>
        </w:rPr>
        <w:t>Thực hiện Luật Ban hành văn bản quy phạm pháp luật năm 2025;           Luật Giám định tư pháp năm 2025; Quyết định số 929/QĐ-HĐND ngày 03/6/2026 của Thường trực Hội đồng nhân dân tỉnh về việc ban hành Danh mục văn bản quy phạm pháp luật của Hội đồng nhân d</w:t>
      </w:r>
      <w:r>
        <w:rPr>
          <w:spacing w:val="-2"/>
          <w:sz w:val="28"/>
          <w:szCs w:val="28"/>
        </w:rPr>
        <w:t>ân tỉnh được giao quy định chi tiết và các nội dung khác được giao trong văn bản quy phạm pháp luật của cơ quan nhà nước cấp trên; trên cơ sở đề nghị của Sở Tư pháp, Ủy ban nhân dân tỉnh kính trình Hội đồng nhân dân tỉnh ban hành Nghị quyết quy định mức hỗ</w:t>
      </w:r>
      <w:r>
        <w:rPr>
          <w:spacing w:val="-2"/>
          <w:sz w:val="28"/>
          <w:szCs w:val="28"/>
        </w:rPr>
        <w:t xml:space="preserve"> trợ đối với giám định viên tư pháp, người giám định tư pháp theo vụ việc trên địa bàn tỉnh Thanh Hóa với những nội dung chủ yếu sau:</w:t>
      </w:r>
    </w:p>
    <w:p w:rsidR="00A61097" w:rsidRDefault="00B13B15">
      <w:pPr>
        <w:spacing w:before="60" w:line="264" w:lineRule="auto"/>
        <w:ind w:firstLine="720"/>
        <w:jc w:val="both"/>
        <w:rPr>
          <w:spacing w:val="4"/>
          <w:sz w:val="28"/>
          <w:szCs w:val="28"/>
        </w:rPr>
      </w:pPr>
      <w:r>
        <w:rPr>
          <w:b/>
          <w:sz w:val="28"/>
          <w:szCs w:val="28"/>
          <w:lang w:val="en-US" w:eastAsia="en-US"/>
        </w:rPr>
        <w:t>I.</w:t>
      </w:r>
      <w:r>
        <w:rPr>
          <w:sz w:val="28"/>
          <w:szCs w:val="28"/>
          <w:lang w:val="en-US" w:eastAsia="en-US"/>
        </w:rPr>
        <w:t xml:space="preserve"> </w:t>
      </w:r>
      <w:r>
        <w:rPr>
          <w:b/>
          <w:sz w:val="28"/>
          <w:szCs w:val="28"/>
          <w:lang w:val="en-US" w:eastAsia="en-US"/>
        </w:rPr>
        <w:t>SỰ CẦN THIẾT BAN HÀNH NGHỊ QUYẾT</w:t>
      </w:r>
    </w:p>
    <w:p w:rsidR="00A61097" w:rsidRDefault="00B13B15">
      <w:pPr>
        <w:spacing w:before="60" w:line="264" w:lineRule="auto"/>
        <w:ind w:firstLine="720"/>
        <w:jc w:val="both"/>
        <w:rPr>
          <w:b/>
          <w:bCs/>
          <w:sz w:val="28"/>
          <w:szCs w:val="28"/>
          <w:lang w:val="en-US" w:eastAsia="en-US"/>
        </w:rPr>
      </w:pPr>
      <w:r>
        <w:rPr>
          <w:b/>
          <w:bCs/>
          <w:sz w:val="28"/>
          <w:szCs w:val="28"/>
          <w:lang w:val="en-US" w:eastAsia="en-US"/>
        </w:rPr>
        <w:t>1. Cơ sở chính trị, pháp lý</w:t>
      </w:r>
    </w:p>
    <w:p w:rsidR="00A61097" w:rsidRDefault="00B13B15">
      <w:pPr>
        <w:pStyle w:val="NormalWeb"/>
        <w:spacing w:before="60" w:beforeAutospacing="0" w:after="0" w:afterAutospacing="0" w:line="264" w:lineRule="auto"/>
        <w:ind w:firstLine="567"/>
        <w:jc w:val="both"/>
        <w:rPr>
          <w:spacing w:val="-2"/>
          <w:sz w:val="28"/>
          <w:szCs w:val="28"/>
        </w:rPr>
      </w:pPr>
      <w:bookmarkStart w:id="2" w:name="_Hlk230107465"/>
      <w:r>
        <w:rPr>
          <w:spacing w:val="-2"/>
          <w:sz w:val="28"/>
          <w:szCs w:val="28"/>
        </w:rPr>
        <w:t>Hoạt động giám định tư pháp có vai trò đặc biệt quan trọng</w:t>
      </w:r>
      <w:r>
        <w:rPr>
          <w:spacing w:val="-2"/>
          <w:sz w:val="28"/>
          <w:szCs w:val="28"/>
        </w:rPr>
        <w:t xml:space="preserve"> trong việc cung cấp nguồn chứng cứ phục vụ hoạt động khởi tố, điều tra, truy tố, xét xử và thi hành án; góp phần bảo đảm việc giải quyết các vụ án, vụ việc khách quan, chính xác, đúng pháp luật, bảo vệ quyền con người, quyền công dân, lợi ích của Nhà nước</w:t>
      </w:r>
      <w:r>
        <w:rPr>
          <w:spacing w:val="-2"/>
          <w:sz w:val="28"/>
          <w:szCs w:val="28"/>
        </w:rPr>
        <w:t>, quyền và lợi ích hợp pháp của tổ chức, cá nhân.</w:t>
      </w:r>
    </w:p>
    <w:p w:rsidR="00A61097" w:rsidRDefault="00B13B15">
      <w:pPr>
        <w:pStyle w:val="NormalWeb"/>
        <w:spacing w:before="60" w:beforeAutospacing="0" w:after="0" w:afterAutospacing="0" w:line="264" w:lineRule="auto"/>
        <w:ind w:firstLine="567"/>
        <w:jc w:val="both"/>
        <w:rPr>
          <w:spacing w:val="-2"/>
          <w:sz w:val="28"/>
          <w:szCs w:val="28"/>
        </w:rPr>
      </w:pPr>
      <w:r>
        <w:rPr>
          <w:spacing w:val="-2"/>
          <w:sz w:val="28"/>
          <w:szCs w:val="28"/>
        </w:rPr>
        <w:t>Ban Bí thư Trung ương Đảng đã ban hành Chỉ thị số 54-CT/TW về tăng cường sự lãnh đạo của Đảng đối với công tác giám định tư pháp, trong đó yêu cầu tiếp tục hoàn thiện cơ chế, chính sách, bảo đảm điều kiện h</w:t>
      </w:r>
      <w:r>
        <w:rPr>
          <w:spacing w:val="-2"/>
          <w:sz w:val="28"/>
          <w:szCs w:val="28"/>
        </w:rPr>
        <w:t>oạt động, xây dựng đội ngũ giám định viên tư pháp có chất lượng, đáp ứng yêu cầu cải cách tư pháp trong tình hình mới.</w:t>
      </w:r>
    </w:p>
    <w:p w:rsidR="00A61097" w:rsidRDefault="00B13B15">
      <w:pPr>
        <w:pStyle w:val="NormalWeb"/>
        <w:spacing w:before="60" w:beforeAutospacing="0" w:after="0" w:afterAutospacing="0" w:line="264" w:lineRule="auto"/>
        <w:ind w:firstLine="567"/>
        <w:jc w:val="both"/>
        <w:rPr>
          <w:i/>
          <w:color w:val="FF0000"/>
          <w:spacing w:val="-2"/>
          <w:sz w:val="28"/>
          <w:szCs w:val="28"/>
        </w:rPr>
      </w:pPr>
      <w:r>
        <w:rPr>
          <w:color w:val="FF0000"/>
          <w:spacing w:val="-2"/>
          <w:sz w:val="28"/>
          <w:szCs w:val="28"/>
        </w:rPr>
        <w:t xml:space="preserve">Khoản 4 Điều 41 Luật Giám định tư pháp năm 2025 quy định: </w:t>
      </w:r>
      <w:r>
        <w:rPr>
          <w:i/>
          <w:color w:val="FF0000"/>
          <w:spacing w:val="-2"/>
          <w:sz w:val="28"/>
          <w:szCs w:val="28"/>
        </w:rPr>
        <w:t>"Bộ, cơ quan ngang Bộ, Hội đồng nhân dân tỉnh căn cứ khả năng, điều kiện thực t</w:t>
      </w:r>
      <w:r>
        <w:rPr>
          <w:i/>
          <w:color w:val="FF0000"/>
          <w:spacing w:val="-2"/>
          <w:sz w:val="28"/>
          <w:szCs w:val="28"/>
        </w:rPr>
        <w:t>ế của Bộ, cơ quan ngang Bộ, địa phương quy định chế độ, chính sách khác để hỗ trợ người giám định tư pháp; thu hút chuyên gia, tổ chức có năng lực tham gia hoạt động giám định tư pháp".</w:t>
      </w:r>
    </w:p>
    <w:p w:rsidR="00A61097" w:rsidRDefault="00B13B15">
      <w:pPr>
        <w:spacing w:before="60" w:line="264" w:lineRule="auto"/>
        <w:jc w:val="both"/>
        <w:rPr>
          <w:i/>
          <w:color w:val="FF0000"/>
          <w:sz w:val="28"/>
          <w:szCs w:val="28"/>
        </w:rPr>
      </w:pPr>
      <w:r>
        <w:rPr>
          <w:color w:val="FF0000"/>
          <w:lang w:val="en-GB"/>
        </w:rPr>
        <w:tab/>
      </w:r>
      <w:r>
        <w:rPr>
          <w:color w:val="FF0000"/>
          <w:sz w:val="28"/>
          <w:szCs w:val="28"/>
        </w:rPr>
        <w:t>Tại điểm l khoản 9 Điều 31 Luật Ngân sách nhà nước số 89/2025/QH15 qu</w:t>
      </w:r>
      <w:r>
        <w:rPr>
          <w:color w:val="FF0000"/>
          <w:sz w:val="28"/>
          <w:szCs w:val="28"/>
        </w:rPr>
        <w:t xml:space="preserve">y định HĐND cấp tỉnh có nhiệm vụ, quyền hạn: </w:t>
      </w:r>
      <w:r>
        <w:rPr>
          <w:i/>
          <w:color w:val="FF0000"/>
          <w:sz w:val="28"/>
          <w:szCs w:val="28"/>
        </w:rPr>
        <w:t xml:space="preserve">“Quyết định các chế độ chi </w:t>
      </w:r>
      <w:r>
        <w:rPr>
          <w:i/>
          <w:color w:val="FF0000"/>
          <w:sz w:val="28"/>
          <w:szCs w:val="28"/>
        </w:rPr>
        <w:lastRenderedPageBreak/>
        <w:t>ngân sách để thực hiện nhiệm vụ phát triển kinh tế - xã hội, an sinh xã hội, bảo đảm trật tự, an toàn xã hội trên địa bàn, phù hợp với tình hình thực tế và khả năng cân đối của ngân sá</w:t>
      </w:r>
      <w:r>
        <w:rPr>
          <w:i/>
          <w:color w:val="FF0000"/>
          <w:sz w:val="28"/>
          <w:szCs w:val="28"/>
        </w:rPr>
        <w:t xml:space="preserve">ch địa phương”. </w:t>
      </w:r>
    </w:p>
    <w:p w:rsidR="00A61097" w:rsidRDefault="00B13B15">
      <w:pPr>
        <w:spacing w:before="60" w:line="264" w:lineRule="auto"/>
        <w:jc w:val="both"/>
        <w:rPr>
          <w:color w:val="FF0000"/>
          <w:sz w:val="28"/>
          <w:szCs w:val="28"/>
        </w:rPr>
      </w:pPr>
      <w:r>
        <w:rPr>
          <w:color w:val="FF0000"/>
          <w:sz w:val="28"/>
          <w:szCs w:val="28"/>
          <w:lang w:val="en-GB"/>
        </w:rPr>
        <w:tab/>
      </w:r>
      <w:r>
        <w:rPr>
          <w:color w:val="FF0000"/>
          <w:sz w:val="28"/>
          <w:szCs w:val="28"/>
        </w:rPr>
        <w:t xml:space="preserve">Tại điểm c và điểm d khoản 1 Điều 15 Luật Tổ chức chính quyền địa phương số 72/2025/QH15 ngày 16/6/2025 quy định HĐND tỉnh có nhiệm vụ, quyền hạn: </w:t>
      </w:r>
      <w:r>
        <w:rPr>
          <w:i/>
          <w:color w:val="FF0000"/>
          <w:sz w:val="28"/>
          <w:szCs w:val="28"/>
        </w:rPr>
        <w:t>“c) …; quyết định các chế độ chi ngân sách đối với một số nhiệm vụ chi có tính chất đặc thù</w:t>
      </w:r>
      <w:r>
        <w:rPr>
          <w:i/>
          <w:color w:val="FF0000"/>
          <w:sz w:val="28"/>
          <w:szCs w:val="28"/>
        </w:rPr>
        <w:t xml:space="preserve"> ở địa phương theo quy định của Luật Ngân sách nhà nước; d) Ban hành nghị quyết về những vấn đề thuộc nhiệm vụ, quyền hạn của Hội đồng nhân dân cấp mình”.</w:t>
      </w:r>
      <w:r>
        <w:rPr>
          <w:color w:val="FF0000"/>
          <w:sz w:val="28"/>
          <w:szCs w:val="28"/>
        </w:rPr>
        <w:t xml:space="preserve"> </w:t>
      </w:r>
    </w:p>
    <w:p w:rsidR="00A61097" w:rsidRDefault="00B13B15">
      <w:pPr>
        <w:spacing w:before="60" w:line="264" w:lineRule="auto"/>
        <w:jc w:val="both"/>
        <w:rPr>
          <w:color w:val="FF0000"/>
          <w:sz w:val="28"/>
          <w:szCs w:val="28"/>
          <w:lang w:val="en-GB"/>
        </w:rPr>
      </w:pPr>
      <w:r>
        <w:rPr>
          <w:color w:val="FF0000"/>
          <w:sz w:val="28"/>
          <w:szCs w:val="28"/>
          <w:lang w:val="en-GB"/>
        </w:rPr>
        <w:tab/>
      </w:r>
      <w:r>
        <w:rPr>
          <w:color w:val="FF0000"/>
          <w:sz w:val="28"/>
          <w:szCs w:val="28"/>
        </w:rPr>
        <w:t>Theo quy định tại điểm c khoản 1 Điều 21 Luật Ban hành văn bản quy phạm pháp luật số 64/2025/QH15 (được sửa đổi, bổ sung bởi khoản 3 Điều 1 Luật sửa đổi, bổ sung một số điều của Luật Ban hành văn bản quy phạm pháp luật số 87/2025/QH15), HĐND cấp tỉnh có th</w:t>
      </w:r>
      <w:r>
        <w:rPr>
          <w:color w:val="FF0000"/>
          <w:sz w:val="28"/>
          <w:szCs w:val="28"/>
        </w:rPr>
        <w:t xml:space="preserve">ẩm quyền ban hành Nghị quyết để quy định: </w:t>
      </w:r>
      <w:r>
        <w:rPr>
          <w:i/>
          <w:color w:val="FF0000"/>
          <w:sz w:val="28"/>
          <w:szCs w:val="28"/>
        </w:rPr>
        <w:t>“Chính sách, biện pháp nhằm phát triển kinh tế - xã hội, ngân sách, quốc phòng, an ninh ở địa phương; biện pháp khác có tính chất đặc thù phù hợp với điều kiện phát triển kinh tế - xã hội của địa phương”.</w:t>
      </w:r>
      <w:r>
        <w:rPr>
          <w:color w:val="FF0000"/>
          <w:sz w:val="28"/>
          <w:szCs w:val="28"/>
        </w:rPr>
        <w:t xml:space="preserve"> </w:t>
      </w:r>
    </w:p>
    <w:p w:rsidR="00A61097" w:rsidRDefault="00B13B15">
      <w:pPr>
        <w:pStyle w:val="NormalWeb"/>
        <w:spacing w:before="60" w:beforeAutospacing="0" w:after="0" w:afterAutospacing="0" w:line="264" w:lineRule="auto"/>
        <w:ind w:firstLine="567"/>
        <w:jc w:val="both"/>
        <w:rPr>
          <w:color w:val="FF0000"/>
          <w:spacing w:val="-2"/>
          <w:sz w:val="28"/>
          <w:szCs w:val="28"/>
        </w:rPr>
      </w:pPr>
      <w:r>
        <w:rPr>
          <w:color w:val="FF0000"/>
          <w:sz w:val="28"/>
          <w:szCs w:val="28"/>
        </w:rPr>
        <w:t>Như vậy,</w:t>
      </w:r>
      <w:r>
        <w:rPr>
          <w:color w:val="FF0000"/>
          <w:sz w:val="28"/>
          <w:szCs w:val="28"/>
        </w:rPr>
        <w:t xml:space="preserve"> Luật Giám định tư pháp năm 2025 đã giao Hội đồng nhân dân cấp tỉnh quy định chính sách hỗ trợ đối với người giám định tư pháp; đồng thời, Luật Tổ chức chính quyền địa phương, Luật Ban hành văn bản quy phạm pháp luật và Luật Ngân sách nhà nước đã quy định </w:t>
      </w:r>
      <w:r>
        <w:rPr>
          <w:color w:val="FF0000"/>
          <w:sz w:val="28"/>
          <w:szCs w:val="28"/>
        </w:rPr>
        <w:t>thẩm quyền của Hội đồng nhân dân tỉnh trong việc ban hành nghị quyết và quyết định chế độ chi ngân sách địa phương. Do đó, việc Hội đồng nhân dân tỉnh Thanh Hóa ban hành Nghị quyết quy định mức hỗ trợ đối với giám định viên tư pháp, người giám định tư pháp</w:t>
      </w:r>
      <w:r>
        <w:rPr>
          <w:color w:val="FF0000"/>
          <w:sz w:val="28"/>
          <w:szCs w:val="28"/>
        </w:rPr>
        <w:t xml:space="preserve"> theo vụ việc trên địa bàn tỉnh là có đầy đủ cơ sở chính trị, pháp lý và đúng thẩm quyền</w:t>
      </w:r>
      <w:r>
        <w:rPr>
          <w:color w:val="FF0000"/>
          <w:spacing w:val="-2"/>
          <w:sz w:val="28"/>
          <w:szCs w:val="28"/>
        </w:rPr>
        <w:t>.</w:t>
      </w:r>
    </w:p>
    <w:bookmarkEnd w:id="2"/>
    <w:p w:rsidR="00A61097" w:rsidRDefault="00B13B15">
      <w:pPr>
        <w:pStyle w:val="NormalWeb"/>
        <w:spacing w:before="60" w:beforeAutospacing="0" w:after="0" w:afterAutospacing="0" w:line="264" w:lineRule="auto"/>
        <w:ind w:firstLine="720"/>
        <w:jc w:val="both"/>
        <w:rPr>
          <w:b/>
          <w:bCs/>
          <w:color w:val="FF0000"/>
          <w:sz w:val="28"/>
          <w:szCs w:val="28"/>
          <w:shd w:val="clear" w:color="auto" w:fill="FFFFFF"/>
        </w:rPr>
      </w:pPr>
      <w:r>
        <w:rPr>
          <w:b/>
          <w:bCs/>
          <w:color w:val="FF0000"/>
          <w:sz w:val="28"/>
          <w:szCs w:val="28"/>
          <w:shd w:val="clear" w:color="auto" w:fill="FFFFFF"/>
        </w:rPr>
        <w:t>2. Cơ sở thực tiễn</w:t>
      </w:r>
    </w:p>
    <w:p w:rsidR="00A61097" w:rsidRDefault="00B13B15">
      <w:pPr>
        <w:spacing w:before="60" w:line="264" w:lineRule="auto"/>
        <w:jc w:val="both"/>
        <w:rPr>
          <w:color w:val="FF0000"/>
          <w:sz w:val="28"/>
          <w:szCs w:val="28"/>
          <w:lang w:val="en-GB" w:eastAsia="en-GB"/>
        </w:rPr>
      </w:pPr>
      <w:r>
        <w:rPr>
          <w:color w:val="FF0000"/>
          <w:lang w:val="en-GB" w:eastAsia="en-GB"/>
        </w:rPr>
        <w:tab/>
      </w:r>
      <w:r>
        <w:rPr>
          <w:color w:val="FF0000"/>
          <w:sz w:val="28"/>
          <w:szCs w:val="28"/>
          <w:lang w:val="en-GB" w:eastAsia="en-GB"/>
        </w:rPr>
        <w:t>Hiện nay, trên địa bàn tỉnh Thanh Hóa, hoạt động giám định tư pháp được thực hiện trong nhiều lĩnh vực như kỹ thuật hình sự, pháp y, pháp y tâm th</w:t>
      </w:r>
      <w:r>
        <w:rPr>
          <w:color w:val="FF0000"/>
          <w:sz w:val="28"/>
          <w:szCs w:val="28"/>
          <w:lang w:val="en-GB" w:eastAsia="en-GB"/>
        </w:rPr>
        <w:t>ần, tài chính, xây dựng, tài nguyên và môi trường, văn hóa, thông tin và một số lĩnh vực chuyên ngành khác. Trong những năm gần đây, cùng với sự gia tăng về số lượng và tính chất phức tạp của các vụ án, vụ việc, nhu cầu trưng cầu, yêu cầu giám định tư pháp</w:t>
      </w:r>
      <w:r>
        <w:rPr>
          <w:color w:val="FF0000"/>
          <w:sz w:val="28"/>
          <w:szCs w:val="28"/>
          <w:lang w:val="en-GB" w:eastAsia="en-GB"/>
        </w:rPr>
        <w:t xml:space="preserve"> ngày càng tăng; yêu cầu đối với hoạt động giám định về tính khách quan, chính xác, kịp thời và chất lượng chuyên môn ngày càng cao.</w:t>
      </w:r>
    </w:p>
    <w:p w:rsidR="00A61097" w:rsidRDefault="00B13B15">
      <w:pPr>
        <w:spacing w:before="60" w:line="264" w:lineRule="auto"/>
        <w:jc w:val="both"/>
        <w:rPr>
          <w:color w:val="FF0000"/>
          <w:sz w:val="28"/>
          <w:szCs w:val="28"/>
          <w:lang w:val="en-GB" w:eastAsia="en-GB"/>
        </w:rPr>
      </w:pPr>
      <w:r>
        <w:rPr>
          <w:color w:val="FF0000"/>
          <w:sz w:val="28"/>
          <w:szCs w:val="28"/>
          <w:lang w:val="en-GB" w:eastAsia="en-GB"/>
        </w:rPr>
        <w:tab/>
        <w:t>Đối với lĩnh vực kỹ thuật hình sự và pháp y, giám định viên tư pháp thường xuyên làm việc trong môi trường độc hại, nguy h</w:t>
      </w:r>
      <w:r>
        <w:rPr>
          <w:color w:val="FF0000"/>
          <w:sz w:val="28"/>
          <w:szCs w:val="28"/>
          <w:lang w:val="en-GB" w:eastAsia="en-GB"/>
        </w:rPr>
        <w:t xml:space="preserve">iểm; trực tiếp tiếp xúc với hóa chất, mẫu vật, nguồn bệnh truyền nhiễm, tử thi và các yếu tố có nguy cơ ảnh hưởng đến sức khỏe. Đồng thời, người giám định tư pháp phải chịu trách nhiệm cá nhân trước pháp luật về tính chính xác, khách quan của kết luận </w:t>
      </w:r>
      <w:r>
        <w:rPr>
          <w:color w:val="FF0000"/>
          <w:sz w:val="28"/>
          <w:szCs w:val="28"/>
          <w:lang w:val="en-GB" w:eastAsia="en-GB"/>
        </w:rPr>
        <w:lastRenderedPageBreak/>
        <w:t>giám</w:t>
      </w:r>
      <w:r>
        <w:rPr>
          <w:color w:val="FF0000"/>
          <w:sz w:val="28"/>
          <w:szCs w:val="28"/>
          <w:lang w:val="en-GB" w:eastAsia="en-GB"/>
        </w:rPr>
        <w:t xml:space="preserve"> định, trong khi thời gian thực hiện giám định nhiều trường hợp gấp, áp lực nghề nghiệp lớn và đòi hỏi trình độ chuyên môn, kinh nghiệm thực tiễn cao.</w:t>
      </w:r>
    </w:p>
    <w:p w:rsidR="00A61097" w:rsidRDefault="00B13B15">
      <w:pPr>
        <w:spacing w:before="60" w:line="264" w:lineRule="auto"/>
        <w:jc w:val="both"/>
        <w:rPr>
          <w:color w:val="FF0000"/>
          <w:sz w:val="28"/>
          <w:szCs w:val="28"/>
          <w:lang w:val="en-GB" w:eastAsia="en-GB"/>
        </w:rPr>
      </w:pPr>
      <w:r>
        <w:rPr>
          <w:color w:val="FF0000"/>
          <w:sz w:val="28"/>
          <w:szCs w:val="28"/>
          <w:lang w:val="en-GB" w:eastAsia="en-GB"/>
        </w:rPr>
        <w:tab/>
        <w:t>Theo báo cáo của các cơ quan, đơn vị có liên quan, Phòng Kỹ thuật hình sự Công an tỉnh hiện có 35 giám đ</w:t>
      </w:r>
      <w:r>
        <w:rPr>
          <w:color w:val="FF0000"/>
          <w:sz w:val="28"/>
          <w:szCs w:val="28"/>
          <w:lang w:val="en-GB" w:eastAsia="en-GB"/>
        </w:rPr>
        <w:t>ịnh viên tư pháp, hằng năm thực hiện trên 5.000 vụ giám định; Trung tâm Pháp y và Giám định y khoa thuộc Sở Y tế có 11 giám định viên tư pháp, bình quân thực hiện trên 900 vụ giám định mỗi năm. Bên cạnh đó, các sở, ngành còn thường xuyên huy động giám định</w:t>
      </w:r>
      <w:r>
        <w:rPr>
          <w:color w:val="FF0000"/>
          <w:sz w:val="28"/>
          <w:szCs w:val="28"/>
          <w:lang w:val="en-GB" w:eastAsia="en-GB"/>
        </w:rPr>
        <w:t xml:space="preserve"> viên tư pháp và người giám định tư pháp </w:t>
      </w:r>
      <w:proofErr w:type="gramStart"/>
      <w:r>
        <w:rPr>
          <w:color w:val="FF0000"/>
          <w:sz w:val="28"/>
          <w:szCs w:val="28"/>
          <w:lang w:val="en-GB" w:eastAsia="en-GB"/>
        </w:rPr>
        <w:t>theo</w:t>
      </w:r>
      <w:proofErr w:type="gramEnd"/>
      <w:r>
        <w:rPr>
          <w:color w:val="FF0000"/>
          <w:sz w:val="28"/>
          <w:szCs w:val="28"/>
          <w:lang w:val="en-GB" w:eastAsia="en-GB"/>
        </w:rPr>
        <w:t xml:space="preserve"> vụ việc tham gia thực hiện giám định đối với các vụ việc thuộc lĩnh vực chuyên môn theo yêu cầu của cơ quan tiến hành tố tụng.</w:t>
      </w:r>
    </w:p>
    <w:p w:rsidR="00A61097" w:rsidRDefault="00B13B15">
      <w:pPr>
        <w:spacing w:before="60" w:line="264" w:lineRule="auto"/>
        <w:jc w:val="both"/>
        <w:rPr>
          <w:color w:val="FF0000"/>
          <w:sz w:val="28"/>
          <w:szCs w:val="28"/>
          <w:lang w:val="en-GB" w:eastAsia="en-GB"/>
        </w:rPr>
      </w:pPr>
      <w:r>
        <w:rPr>
          <w:color w:val="FF0000"/>
          <w:sz w:val="28"/>
          <w:szCs w:val="28"/>
          <w:lang w:val="en-GB" w:eastAsia="en-GB"/>
        </w:rPr>
        <w:tab/>
        <w:t>Mặc dù pháp luật hiện hành đã quy định chế độ bồi dưỡng, chi trả chi phí giám định</w:t>
      </w:r>
      <w:r>
        <w:rPr>
          <w:color w:val="FF0000"/>
          <w:sz w:val="28"/>
          <w:szCs w:val="28"/>
          <w:lang w:val="en-GB" w:eastAsia="en-GB"/>
        </w:rPr>
        <w:t xml:space="preserve"> tư pháp đối với từng vụ việc, song các chế độ này chủ yếu nhằm bù đắp chi phí thực hiện hoạt động giám định, chưa phản ánh đầy đủ tính chất đặc thù của nghề nghiệp, trách nhiệm pháp lý, cường độ lao động và yêu cầu chuyên môn cao của hoạt động giám định t</w:t>
      </w:r>
      <w:r>
        <w:rPr>
          <w:color w:val="FF0000"/>
          <w:sz w:val="28"/>
          <w:szCs w:val="28"/>
          <w:lang w:val="en-GB" w:eastAsia="en-GB"/>
        </w:rPr>
        <w:t xml:space="preserve">ư pháp. Trong khi đó, tỉnh Thanh Hóa hiện chưa ban hành chính sách hỗ trợ riêng đối với giám định viên tư pháp và người giám định tư pháp </w:t>
      </w:r>
      <w:proofErr w:type="gramStart"/>
      <w:r>
        <w:rPr>
          <w:color w:val="FF0000"/>
          <w:sz w:val="28"/>
          <w:szCs w:val="28"/>
          <w:lang w:val="en-GB" w:eastAsia="en-GB"/>
        </w:rPr>
        <w:t>theo</w:t>
      </w:r>
      <w:proofErr w:type="gramEnd"/>
      <w:r>
        <w:rPr>
          <w:color w:val="FF0000"/>
          <w:sz w:val="28"/>
          <w:szCs w:val="28"/>
          <w:lang w:val="en-GB" w:eastAsia="en-GB"/>
        </w:rPr>
        <w:t xml:space="preserve"> vụ việc ngoài các chế độ do Trung ương quy định. Điều này phần nào ảnh hưởng đến việc động viên, khuyến khích đội</w:t>
      </w:r>
      <w:r>
        <w:rPr>
          <w:color w:val="FF0000"/>
          <w:sz w:val="28"/>
          <w:szCs w:val="28"/>
          <w:lang w:val="en-GB" w:eastAsia="en-GB"/>
        </w:rPr>
        <w:t xml:space="preserve"> </w:t>
      </w:r>
      <w:proofErr w:type="gramStart"/>
      <w:r>
        <w:rPr>
          <w:color w:val="FF0000"/>
          <w:sz w:val="28"/>
          <w:szCs w:val="28"/>
          <w:lang w:val="en-GB" w:eastAsia="en-GB"/>
        </w:rPr>
        <w:t>ngũ</w:t>
      </w:r>
      <w:proofErr w:type="gramEnd"/>
      <w:r>
        <w:rPr>
          <w:color w:val="FF0000"/>
          <w:sz w:val="28"/>
          <w:szCs w:val="28"/>
          <w:lang w:val="en-GB" w:eastAsia="en-GB"/>
        </w:rPr>
        <w:t xml:space="preserve"> giám định viên tư pháp, người giám định tư pháp theo vụ việc yên tâm công tác và thu hút các chuyên gia, người có trình độ chuyên môn cao tham gia hoạt động giám định tư pháp.</w:t>
      </w:r>
    </w:p>
    <w:p w:rsidR="00A61097" w:rsidRDefault="00B13B15">
      <w:pPr>
        <w:spacing w:before="60" w:line="264" w:lineRule="auto"/>
        <w:jc w:val="both"/>
        <w:rPr>
          <w:color w:val="FF0000"/>
          <w:sz w:val="28"/>
          <w:szCs w:val="28"/>
          <w:lang w:val="en-GB" w:eastAsia="en-GB"/>
        </w:rPr>
      </w:pPr>
      <w:r>
        <w:rPr>
          <w:color w:val="FF0000"/>
          <w:sz w:val="28"/>
          <w:szCs w:val="28"/>
          <w:lang w:val="en-GB" w:eastAsia="en-GB"/>
        </w:rPr>
        <w:tab/>
        <w:t xml:space="preserve">Từ những yêu cầu thực tiễn nêu trên, việc Hội đồng nhân dân tỉnh ban hành </w:t>
      </w:r>
      <w:r>
        <w:rPr>
          <w:color w:val="FF0000"/>
          <w:sz w:val="28"/>
          <w:szCs w:val="28"/>
          <w:lang w:val="en-GB" w:eastAsia="en-GB"/>
        </w:rPr>
        <w:t xml:space="preserve">Nghị quyết quy định mức hỗ trợ đối với giám định viên tư pháp và người giám định tư pháp theo vụ việc trên địa bàn tỉnh Thanh Hóa là cần thiết. Chính sách này sẽ góp phần động viên, khuyến khích đội ngũ giám định viên tư pháp, người giám định tư pháp theo </w:t>
      </w:r>
      <w:r>
        <w:rPr>
          <w:color w:val="FF0000"/>
          <w:sz w:val="28"/>
          <w:szCs w:val="28"/>
          <w:lang w:val="en-GB" w:eastAsia="en-GB"/>
        </w:rPr>
        <w:t>vụ việc yên tâm công tác, nâng cao chất lượng và hiệu quả hoạt động giám định tư pháp, thu hút nguồn nhân lực có trình độ chuyên môn cao tham gia hoạt động giám định tư pháp, đáp ứng yêu cầu cải cách tư pháp và góp phần bảo đảm việc giải quyết các vụ án, v</w:t>
      </w:r>
      <w:r>
        <w:rPr>
          <w:color w:val="FF0000"/>
          <w:sz w:val="28"/>
          <w:szCs w:val="28"/>
          <w:lang w:val="en-GB" w:eastAsia="en-GB"/>
        </w:rPr>
        <w:t>ụ việc khách quan, chính xác, đúng pháp luật.</w:t>
      </w:r>
    </w:p>
    <w:p w:rsidR="00A61097" w:rsidRDefault="00B13B15">
      <w:pPr>
        <w:pStyle w:val="NormalWeb"/>
        <w:spacing w:before="60" w:beforeAutospacing="0" w:after="0" w:afterAutospacing="0" w:line="264" w:lineRule="auto"/>
        <w:ind w:firstLine="567"/>
        <w:jc w:val="both"/>
        <w:rPr>
          <w:b/>
          <w:spacing w:val="-2"/>
          <w:sz w:val="28"/>
          <w:szCs w:val="28"/>
        </w:rPr>
      </w:pPr>
      <w:r>
        <w:rPr>
          <w:b/>
          <w:spacing w:val="-2"/>
          <w:sz w:val="28"/>
          <w:szCs w:val="28"/>
        </w:rPr>
        <w:t>II. MỤC ĐÍCH, QUAN ĐIỂM XÂY DỰNG NGHỊ QUYẾT</w:t>
      </w:r>
    </w:p>
    <w:p w:rsidR="00A61097" w:rsidRDefault="00B13B15">
      <w:pPr>
        <w:pStyle w:val="NormalWeb"/>
        <w:spacing w:before="60" w:beforeAutospacing="0" w:after="0" w:afterAutospacing="0" w:line="264" w:lineRule="auto"/>
        <w:ind w:firstLine="567"/>
        <w:jc w:val="both"/>
        <w:rPr>
          <w:b/>
          <w:spacing w:val="-2"/>
          <w:sz w:val="28"/>
          <w:szCs w:val="28"/>
        </w:rPr>
      </w:pPr>
      <w:r>
        <w:rPr>
          <w:b/>
          <w:spacing w:val="-2"/>
          <w:sz w:val="28"/>
          <w:szCs w:val="28"/>
        </w:rPr>
        <w:t>1. Mục đích</w:t>
      </w:r>
    </w:p>
    <w:p w:rsidR="00A61097" w:rsidRDefault="00B13B15">
      <w:pPr>
        <w:pStyle w:val="NormalWeb"/>
        <w:spacing w:before="60" w:beforeAutospacing="0" w:after="0" w:afterAutospacing="0" w:line="264" w:lineRule="auto"/>
        <w:ind w:firstLine="567"/>
        <w:jc w:val="both"/>
        <w:rPr>
          <w:spacing w:val="-2"/>
          <w:sz w:val="28"/>
          <w:szCs w:val="28"/>
        </w:rPr>
      </w:pPr>
      <w:r>
        <w:rPr>
          <w:spacing w:val="-2"/>
          <w:sz w:val="28"/>
          <w:szCs w:val="28"/>
        </w:rPr>
        <w:t>Việc ban hành Nghị quyết nhằm cụ thể hóa quy định tại khoản 4 Điều 41 Luật Giám định tư pháp năm 2025 về việc Hội đồng nhân dân cấp tỉnh quyết định chế độ</w:t>
      </w:r>
      <w:r>
        <w:rPr>
          <w:spacing w:val="-2"/>
          <w:sz w:val="28"/>
          <w:szCs w:val="28"/>
        </w:rPr>
        <w:t>, chính sách hỗ trợ đối với giám định viên tư pháp, người giám định tư pháp theo vụ việc phù hợp với điều kiện thực tế của địa phương.</w:t>
      </w:r>
    </w:p>
    <w:p w:rsidR="00A61097" w:rsidRDefault="00B13B15">
      <w:pPr>
        <w:pStyle w:val="NormalWeb"/>
        <w:spacing w:before="60" w:beforeAutospacing="0" w:after="0" w:afterAutospacing="0" w:line="264" w:lineRule="auto"/>
        <w:ind w:firstLine="567"/>
        <w:jc w:val="both"/>
        <w:rPr>
          <w:spacing w:val="-2"/>
          <w:sz w:val="28"/>
          <w:szCs w:val="28"/>
        </w:rPr>
      </w:pPr>
      <w:r>
        <w:rPr>
          <w:spacing w:val="-2"/>
          <w:sz w:val="28"/>
          <w:szCs w:val="28"/>
        </w:rPr>
        <w:t xml:space="preserve">Thông qua việc ban hành chính sách hỗ trợ, góp phần động viên, khuyến khích đội ngũ giám định viên tư pháp, người giám định tư pháp theo vụ việc yên </w:t>
      </w:r>
      <w:r>
        <w:rPr>
          <w:spacing w:val="-2"/>
          <w:sz w:val="28"/>
          <w:szCs w:val="28"/>
        </w:rPr>
        <w:lastRenderedPageBreak/>
        <w:t xml:space="preserve">tâm công tác, nâng cao tinh thần trách nhiệm, chất lượng chuyên môn; đồng thời thu hút đội ngũ chuyên gia, </w:t>
      </w:r>
      <w:r>
        <w:rPr>
          <w:spacing w:val="-2"/>
          <w:sz w:val="28"/>
          <w:szCs w:val="28"/>
        </w:rPr>
        <w:t>người có trình độ chuyên môn cao tham gia hoạt động giám định tư pháp, đáp ứng yêu cầu cải cách tư pháp và phát triển kinh tế - xã hội của tỉnh.</w:t>
      </w:r>
    </w:p>
    <w:p w:rsidR="00A61097" w:rsidRDefault="00B13B15">
      <w:pPr>
        <w:pStyle w:val="NormalWeb"/>
        <w:spacing w:before="60" w:beforeAutospacing="0" w:after="0" w:afterAutospacing="0" w:line="264" w:lineRule="auto"/>
        <w:ind w:firstLine="567"/>
        <w:jc w:val="both"/>
        <w:rPr>
          <w:b/>
          <w:spacing w:val="-2"/>
          <w:sz w:val="28"/>
          <w:szCs w:val="28"/>
        </w:rPr>
      </w:pPr>
      <w:r>
        <w:rPr>
          <w:b/>
          <w:spacing w:val="-2"/>
          <w:sz w:val="28"/>
          <w:szCs w:val="28"/>
        </w:rPr>
        <w:t>2. Quan điểm xây dựng Nghị quyết</w:t>
      </w:r>
    </w:p>
    <w:p w:rsidR="00A61097" w:rsidRDefault="00B13B15">
      <w:pPr>
        <w:pStyle w:val="NormalWeb"/>
        <w:spacing w:before="60" w:beforeAutospacing="0" w:after="0" w:afterAutospacing="0" w:line="264" w:lineRule="auto"/>
        <w:ind w:firstLine="567"/>
        <w:jc w:val="both"/>
        <w:rPr>
          <w:spacing w:val="-2"/>
          <w:sz w:val="28"/>
          <w:szCs w:val="28"/>
        </w:rPr>
      </w:pPr>
      <w:r>
        <w:rPr>
          <w:spacing w:val="-2"/>
          <w:sz w:val="28"/>
          <w:szCs w:val="28"/>
        </w:rPr>
        <w:t xml:space="preserve">- Bảo đảm phù hợp với chủ trương, đường lối của Đảng, quy định của Hiến pháp, </w:t>
      </w:r>
      <w:r>
        <w:rPr>
          <w:spacing w:val="-2"/>
          <w:sz w:val="28"/>
          <w:szCs w:val="28"/>
        </w:rPr>
        <w:t>Luật Giám định tư pháp năm 2025, Luật Ngân sách nhà nước và các văn bản pháp luật có liên quan.</w:t>
      </w:r>
    </w:p>
    <w:p w:rsidR="00A61097" w:rsidRDefault="00B13B15">
      <w:pPr>
        <w:pStyle w:val="NormalWeb"/>
        <w:spacing w:before="60" w:beforeAutospacing="0" w:after="0" w:afterAutospacing="0" w:line="264" w:lineRule="auto"/>
        <w:ind w:firstLine="567"/>
        <w:jc w:val="both"/>
        <w:rPr>
          <w:spacing w:val="-2"/>
          <w:sz w:val="28"/>
          <w:szCs w:val="28"/>
        </w:rPr>
      </w:pPr>
      <w:r>
        <w:rPr>
          <w:spacing w:val="-2"/>
          <w:sz w:val="28"/>
          <w:szCs w:val="28"/>
        </w:rPr>
        <w:t>- Bảo đảm tính hợp hiến, hợp pháp, tính thống nhất của hệ thống pháp luật; đúng thẩm quyền của Hội đồng nhân dân tỉnh.</w:t>
      </w:r>
    </w:p>
    <w:p w:rsidR="00A61097" w:rsidRDefault="00B13B15">
      <w:pPr>
        <w:pStyle w:val="NormalWeb"/>
        <w:spacing w:before="60" w:beforeAutospacing="0" w:after="0" w:afterAutospacing="0" w:line="264" w:lineRule="auto"/>
        <w:ind w:firstLine="567"/>
        <w:jc w:val="both"/>
        <w:rPr>
          <w:spacing w:val="-2"/>
          <w:sz w:val="28"/>
          <w:szCs w:val="28"/>
        </w:rPr>
      </w:pPr>
      <w:r>
        <w:rPr>
          <w:sz w:val="28"/>
          <w:szCs w:val="28"/>
        </w:rPr>
        <w:t>- Chính sách hỗ trợ được xây dựng trên cơ</w:t>
      </w:r>
      <w:r>
        <w:rPr>
          <w:sz w:val="28"/>
          <w:szCs w:val="28"/>
        </w:rPr>
        <w:t xml:space="preserve"> sở yêu cầu thực tiễn, bảo đảm công khai, minh bạch, khả thi, đúng đối tượng, góp phần nâng cao chất lượng hoạt động giám định tư pháp và thu hút người có trình độ chuyên môn cao tham gia hoạt động giám định tư pháp</w:t>
      </w:r>
      <w:r>
        <w:rPr>
          <w:spacing w:val="-2"/>
          <w:sz w:val="28"/>
          <w:szCs w:val="28"/>
        </w:rPr>
        <w:t>.</w:t>
      </w:r>
    </w:p>
    <w:p w:rsidR="00A61097" w:rsidRDefault="00B13B15">
      <w:pPr>
        <w:pStyle w:val="NormalWeb"/>
        <w:spacing w:before="60" w:beforeAutospacing="0" w:after="0" w:afterAutospacing="0" w:line="264" w:lineRule="auto"/>
        <w:ind w:firstLine="567"/>
        <w:jc w:val="both"/>
        <w:rPr>
          <w:b/>
          <w:spacing w:val="-2"/>
          <w:sz w:val="28"/>
          <w:szCs w:val="28"/>
        </w:rPr>
      </w:pPr>
      <w:r>
        <w:rPr>
          <w:b/>
          <w:spacing w:val="-2"/>
          <w:sz w:val="28"/>
          <w:szCs w:val="28"/>
        </w:rPr>
        <w:t>III. QUÁ TRÌNH XÂY DỰNG DỰ THẢO NGHỊ QU</w:t>
      </w:r>
      <w:r>
        <w:rPr>
          <w:b/>
          <w:spacing w:val="-2"/>
          <w:sz w:val="28"/>
          <w:szCs w:val="28"/>
        </w:rPr>
        <w:t>YẾT</w:t>
      </w:r>
    </w:p>
    <w:p w:rsidR="00A61097" w:rsidRDefault="00B13B15">
      <w:pPr>
        <w:spacing w:before="60" w:line="264" w:lineRule="auto"/>
        <w:jc w:val="both"/>
        <w:rPr>
          <w:color w:val="FF0000"/>
          <w:sz w:val="28"/>
          <w:szCs w:val="28"/>
          <w:lang w:val="en-GB" w:eastAsia="en-GB"/>
        </w:rPr>
      </w:pPr>
      <w:r>
        <w:rPr>
          <w:lang w:val="en-GB" w:eastAsia="en-GB"/>
        </w:rPr>
        <w:tab/>
      </w:r>
      <w:r>
        <w:rPr>
          <w:color w:val="FF0000"/>
          <w:sz w:val="28"/>
          <w:szCs w:val="28"/>
          <w:lang w:val="en-GB" w:eastAsia="en-GB"/>
        </w:rPr>
        <w:t>Ngày 04/7/2026, Thường trực Hội đồng nhân dân tỉnh ban hành Quyết định số 929/QĐ-HĐND về việc ban hành Danh mục văn bản quy phạm pháp luật của Hội đồng nhân dân tỉnh được giao quy định chi tiết và các nội dung khác được giao trong văn bản quy phạm phá</w:t>
      </w:r>
      <w:r>
        <w:rPr>
          <w:color w:val="FF0000"/>
          <w:sz w:val="28"/>
          <w:szCs w:val="28"/>
          <w:lang w:val="en-GB" w:eastAsia="en-GB"/>
        </w:rPr>
        <w:t xml:space="preserve">p luật của cơ quan nhà nước cấp trên. Theo đó, Sở Tư pháp được giao chủ trì xây dựng dự thảo Nghị quyết quy định mức hỗ trợ đối với giám định viên tư pháp, người giám định tư pháp </w:t>
      </w:r>
      <w:proofErr w:type="gramStart"/>
      <w:r>
        <w:rPr>
          <w:color w:val="FF0000"/>
          <w:sz w:val="28"/>
          <w:szCs w:val="28"/>
          <w:lang w:val="en-GB" w:eastAsia="en-GB"/>
        </w:rPr>
        <w:t>theo</w:t>
      </w:r>
      <w:proofErr w:type="gramEnd"/>
      <w:r>
        <w:rPr>
          <w:color w:val="FF0000"/>
          <w:sz w:val="28"/>
          <w:szCs w:val="28"/>
          <w:lang w:val="en-GB" w:eastAsia="en-GB"/>
        </w:rPr>
        <w:t xml:space="preserve"> vụ việc trên địa bàn tỉnh Thanh Hóa.</w:t>
      </w:r>
    </w:p>
    <w:p w:rsidR="00A61097" w:rsidRDefault="00B13B15">
      <w:pPr>
        <w:spacing w:before="60" w:line="264" w:lineRule="auto"/>
        <w:jc w:val="both"/>
        <w:rPr>
          <w:color w:val="FF0000"/>
          <w:sz w:val="28"/>
          <w:szCs w:val="28"/>
          <w:lang w:val="en-GB" w:eastAsia="en-GB"/>
        </w:rPr>
      </w:pPr>
      <w:r>
        <w:rPr>
          <w:color w:val="FF0000"/>
          <w:sz w:val="28"/>
          <w:szCs w:val="28"/>
          <w:lang w:val="en-GB" w:eastAsia="en-GB"/>
        </w:rPr>
        <w:tab/>
        <w:t xml:space="preserve">Thực hiện nhiệm vụ được giao, Sở </w:t>
      </w:r>
      <w:r>
        <w:rPr>
          <w:color w:val="FF0000"/>
          <w:sz w:val="28"/>
          <w:szCs w:val="28"/>
          <w:lang w:val="en-GB" w:eastAsia="en-GB"/>
        </w:rPr>
        <w:t>Tư pháp đã chủ trì, phối hợp với các sở, ban, ngành, đơn vị có liên quan tổ chức khảo sát, đánh giá thực trạng, xây dựng hồ sơ dự thảo Nghị quyết theo quy định của Luật Ban hành văn bản quy phạm pháp luật năm 2025 và các văn bản hướng dẫn thi hành.</w:t>
      </w:r>
    </w:p>
    <w:p w:rsidR="00A61097" w:rsidRDefault="00B13B15">
      <w:pPr>
        <w:spacing w:before="60" w:line="264" w:lineRule="auto"/>
        <w:jc w:val="both"/>
        <w:rPr>
          <w:color w:val="FF0000"/>
          <w:sz w:val="28"/>
          <w:szCs w:val="28"/>
          <w:lang w:val="en-GB" w:eastAsia="en-GB"/>
        </w:rPr>
      </w:pPr>
      <w:r>
        <w:rPr>
          <w:color w:val="FF0000"/>
          <w:sz w:val="28"/>
          <w:szCs w:val="28"/>
          <w:lang w:val="en-GB" w:eastAsia="en-GB"/>
        </w:rPr>
        <w:tab/>
        <w:t>Ngày .</w:t>
      </w:r>
      <w:r>
        <w:rPr>
          <w:color w:val="FF0000"/>
          <w:sz w:val="28"/>
          <w:szCs w:val="28"/>
          <w:lang w:val="en-GB" w:eastAsia="en-GB"/>
        </w:rPr>
        <w:t>.. tháng ... năm 2026, Sở Tư pháp ban hành Công văn số .../STP-... lấy ý kiến các sở, ban, ngành, đơn vị có liên quan; đồng thời đăng tải hồ sơ dự thảo Nghị quyết trên Cổng thông tin điện tử tỉnh Thanh Hóa và Trang thông tin điện tử của Sở Tư pháp theo quy</w:t>
      </w:r>
      <w:r>
        <w:rPr>
          <w:color w:val="FF0000"/>
          <w:sz w:val="28"/>
          <w:szCs w:val="28"/>
          <w:lang w:val="en-GB" w:eastAsia="en-GB"/>
        </w:rPr>
        <w:t xml:space="preserve"> định để lấy ý kiến các cơ quan, tổ chức, cá nhân.</w:t>
      </w:r>
    </w:p>
    <w:p w:rsidR="00A61097" w:rsidRDefault="00B13B15">
      <w:pPr>
        <w:spacing w:before="60" w:line="264" w:lineRule="auto"/>
        <w:jc w:val="both"/>
        <w:rPr>
          <w:color w:val="FF0000"/>
          <w:sz w:val="28"/>
          <w:szCs w:val="28"/>
          <w:lang w:val="en-GB" w:eastAsia="en-GB"/>
        </w:rPr>
      </w:pPr>
      <w:r>
        <w:rPr>
          <w:color w:val="FF0000"/>
          <w:sz w:val="28"/>
          <w:szCs w:val="28"/>
          <w:lang w:val="en-GB" w:eastAsia="en-GB"/>
        </w:rPr>
        <w:tab/>
        <w:t xml:space="preserve">Trên cơ sở các ý kiến tham gia, Sở Tư pháp đã nghiên cứu, tiếp </w:t>
      </w:r>
      <w:proofErr w:type="gramStart"/>
      <w:r>
        <w:rPr>
          <w:color w:val="FF0000"/>
          <w:sz w:val="28"/>
          <w:szCs w:val="28"/>
          <w:lang w:val="en-GB" w:eastAsia="en-GB"/>
        </w:rPr>
        <w:t>thu</w:t>
      </w:r>
      <w:proofErr w:type="gramEnd"/>
      <w:r>
        <w:rPr>
          <w:color w:val="FF0000"/>
          <w:sz w:val="28"/>
          <w:szCs w:val="28"/>
          <w:lang w:val="en-GB" w:eastAsia="en-GB"/>
        </w:rPr>
        <w:t>, giải trình đầy đủ; chỉnh lý, hoàn thiện dự thảo Nghị quyết và các tài liệu kèm theo để trình Ủy ban nhân dân tỉnh xem xét theo quy định.</w:t>
      </w:r>
    </w:p>
    <w:p w:rsidR="00A61097" w:rsidRDefault="00B13B15">
      <w:pPr>
        <w:spacing w:before="60" w:line="264" w:lineRule="auto"/>
        <w:jc w:val="both"/>
        <w:rPr>
          <w:color w:val="FF0000"/>
          <w:sz w:val="28"/>
          <w:szCs w:val="28"/>
          <w:lang w:val="en-GB" w:eastAsia="en-GB"/>
        </w:rPr>
      </w:pPr>
      <w:r>
        <w:rPr>
          <w:color w:val="FF0000"/>
          <w:sz w:val="28"/>
          <w:szCs w:val="28"/>
          <w:lang w:val="en-GB" w:eastAsia="en-GB"/>
        </w:rPr>
        <w:tab/>
        <w:t>Ngày ... tháng ... năm 2026, Ủy ban nhân dân tỉnh đã xem xét, cho ý kiến đối với dự thảo Nghị quyết và thống nhất trình Hội đồng nhân dân tỉnh xem xét, quyết định theo thẩm quyền.</w:t>
      </w:r>
    </w:p>
    <w:p w:rsidR="00A61097" w:rsidRDefault="00B13B15">
      <w:pPr>
        <w:pStyle w:val="NormalWeb"/>
        <w:spacing w:before="60" w:beforeAutospacing="0" w:after="0" w:afterAutospacing="0" w:line="264" w:lineRule="auto"/>
        <w:ind w:firstLine="567"/>
        <w:jc w:val="both"/>
        <w:rPr>
          <w:b/>
          <w:color w:val="FF0000"/>
          <w:spacing w:val="-2"/>
          <w:sz w:val="28"/>
          <w:szCs w:val="28"/>
        </w:rPr>
      </w:pPr>
      <w:r>
        <w:rPr>
          <w:b/>
          <w:color w:val="FF0000"/>
          <w:spacing w:val="-2"/>
          <w:sz w:val="28"/>
          <w:szCs w:val="28"/>
        </w:rPr>
        <w:t>IV. NHỮNG NỘI DUNG CHỦ YẾU CỦA CHÍNH SÁCH</w:t>
      </w:r>
    </w:p>
    <w:p w:rsidR="00A61097" w:rsidRDefault="00B13B15">
      <w:pPr>
        <w:pStyle w:val="isselectedend"/>
        <w:spacing w:before="60" w:beforeAutospacing="0" w:after="0" w:afterAutospacing="0" w:line="264" w:lineRule="auto"/>
        <w:jc w:val="both"/>
        <w:rPr>
          <w:color w:val="FF0000"/>
          <w:sz w:val="28"/>
          <w:szCs w:val="28"/>
        </w:rPr>
      </w:pPr>
      <w:r>
        <w:rPr>
          <w:color w:val="FF0000"/>
        </w:rPr>
        <w:lastRenderedPageBreak/>
        <w:tab/>
      </w:r>
      <w:r>
        <w:rPr>
          <w:color w:val="FF0000"/>
          <w:sz w:val="28"/>
          <w:szCs w:val="28"/>
        </w:rPr>
        <w:t>Trên cơ sở quy định của Luật Gi</w:t>
      </w:r>
      <w:r>
        <w:rPr>
          <w:color w:val="FF0000"/>
          <w:sz w:val="28"/>
          <w:szCs w:val="28"/>
        </w:rPr>
        <w:t xml:space="preserve">ám định tư pháp năm 2025, điều kiện thực tiễn của địa phương và khả năng cân đối ngân sách nhà nước, dự thảo Nghị quyết quy định chính sách hỗ trợ đối với giám định viên tư pháp, người giám định tư pháp theo vụ việc trên địa bàn tỉnh Thanh Hóa với các nội </w:t>
      </w:r>
      <w:r>
        <w:rPr>
          <w:color w:val="FF0000"/>
          <w:sz w:val="28"/>
          <w:szCs w:val="28"/>
        </w:rPr>
        <w:t>dung chủ yếu như sau:</w:t>
      </w:r>
    </w:p>
    <w:p w:rsidR="00A61097" w:rsidRDefault="00B13B15">
      <w:pPr>
        <w:pStyle w:val="isselectedend"/>
        <w:spacing w:before="60" w:beforeAutospacing="0" w:after="0" w:afterAutospacing="0" w:line="264" w:lineRule="auto"/>
        <w:jc w:val="both"/>
        <w:rPr>
          <w:color w:val="FF0000"/>
          <w:sz w:val="28"/>
          <w:szCs w:val="28"/>
        </w:rPr>
      </w:pPr>
      <w:r>
        <w:rPr>
          <w:color w:val="FF0000"/>
          <w:sz w:val="28"/>
          <w:szCs w:val="28"/>
        </w:rPr>
        <w:tab/>
      </w:r>
      <w:r>
        <w:rPr>
          <w:b/>
          <w:color w:val="FF0000"/>
          <w:sz w:val="28"/>
          <w:szCs w:val="28"/>
        </w:rPr>
        <w:t>1.</w:t>
      </w:r>
      <w:r>
        <w:rPr>
          <w:color w:val="FF0000"/>
          <w:sz w:val="28"/>
          <w:szCs w:val="28"/>
        </w:rPr>
        <w:t xml:space="preserve"> </w:t>
      </w:r>
      <w:r>
        <w:rPr>
          <w:rStyle w:val="Strong"/>
          <w:color w:val="FF0000"/>
          <w:sz w:val="28"/>
          <w:szCs w:val="28"/>
        </w:rPr>
        <w:t xml:space="preserve">Về phạm </w:t>
      </w:r>
      <w:proofErr w:type="gramStart"/>
      <w:r>
        <w:rPr>
          <w:rStyle w:val="Strong"/>
          <w:color w:val="FF0000"/>
          <w:sz w:val="28"/>
          <w:szCs w:val="28"/>
        </w:rPr>
        <w:t>vi</w:t>
      </w:r>
      <w:proofErr w:type="gramEnd"/>
      <w:r>
        <w:rPr>
          <w:rStyle w:val="Strong"/>
          <w:color w:val="FF0000"/>
          <w:sz w:val="28"/>
          <w:szCs w:val="28"/>
        </w:rPr>
        <w:t xml:space="preserve"> điều chỉnh và đối tượng áp dụng</w:t>
      </w:r>
    </w:p>
    <w:p w:rsidR="00A61097" w:rsidRDefault="00B13B15">
      <w:pPr>
        <w:spacing w:before="60" w:line="264" w:lineRule="auto"/>
        <w:ind w:firstLine="570"/>
        <w:jc w:val="both"/>
        <w:rPr>
          <w:color w:val="FF0000"/>
          <w:spacing w:val="-2"/>
          <w:sz w:val="28"/>
          <w:szCs w:val="28"/>
          <w:lang w:val="en-GB"/>
        </w:rPr>
      </w:pPr>
      <w:r>
        <w:rPr>
          <w:color w:val="FF0000"/>
          <w:sz w:val="28"/>
          <w:szCs w:val="28"/>
        </w:rPr>
        <w:tab/>
      </w:r>
      <w:r>
        <w:rPr>
          <w:color w:val="FF0000"/>
          <w:spacing w:val="-2"/>
          <w:sz w:val="28"/>
          <w:szCs w:val="28"/>
        </w:rPr>
        <w:t xml:space="preserve">Nghị quyết quy định chính sách hỗ trợ đối với giám định viên tư pháp và người giám định tư pháp theo vụ việc đang công tác tại các cơ quan nhà nước, đơn vị sự nghiệp công lập trên địa </w:t>
      </w:r>
      <w:r>
        <w:rPr>
          <w:color w:val="FF0000"/>
          <w:spacing w:val="-2"/>
          <w:sz w:val="28"/>
          <w:szCs w:val="28"/>
        </w:rPr>
        <w:t>bàn tỉnh Thanh Hóa.</w:t>
      </w:r>
    </w:p>
    <w:p w:rsidR="00A61097" w:rsidRDefault="00B13B15">
      <w:pPr>
        <w:pStyle w:val="isselectedend"/>
        <w:spacing w:before="60" w:beforeAutospacing="0" w:after="0" w:afterAutospacing="0" w:line="264" w:lineRule="auto"/>
        <w:jc w:val="both"/>
        <w:rPr>
          <w:rStyle w:val="Strong"/>
          <w:color w:val="FF0000"/>
          <w:sz w:val="28"/>
          <w:szCs w:val="28"/>
        </w:rPr>
      </w:pPr>
      <w:r>
        <w:rPr>
          <w:color w:val="FF0000"/>
          <w:sz w:val="28"/>
          <w:szCs w:val="28"/>
        </w:rPr>
        <w:tab/>
        <w:t xml:space="preserve">2. </w:t>
      </w:r>
      <w:r>
        <w:rPr>
          <w:rStyle w:val="Strong"/>
          <w:color w:val="FF0000"/>
          <w:sz w:val="28"/>
          <w:szCs w:val="28"/>
        </w:rPr>
        <w:t>Về chính sách hỗ trợ</w:t>
      </w:r>
    </w:p>
    <w:p w:rsidR="00A61097" w:rsidRDefault="00B13B15">
      <w:pPr>
        <w:pStyle w:val="isselectedend"/>
        <w:spacing w:before="60" w:beforeAutospacing="0" w:after="0" w:afterAutospacing="0" w:line="264" w:lineRule="auto"/>
        <w:jc w:val="both"/>
        <w:rPr>
          <w:color w:val="FF0000"/>
          <w:sz w:val="28"/>
          <w:szCs w:val="28"/>
        </w:rPr>
      </w:pPr>
      <w:r>
        <w:rPr>
          <w:rStyle w:val="Strong"/>
          <w:color w:val="FF0000"/>
          <w:sz w:val="28"/>
          <w:szCs w:val="28"/>
        </w:rPr>
        <w:tab/>
        <w:t xml:space="preserve">- </w:t>
      </w:r>
      <w:r>
        <w:rPr>
          <w:color w:val="FF0000"/>
          <w:sz w:val="28"/>
          <w:szCs w:val="28"/>
        </w:rPr>
        <w:t xml:space="preserve">Quy định mức hỗ trợ hằng tháng là </w:t>
      </w:r>
      <w:r>
        <w:rPr>
          <w:rStyle w:val="Strong"/>
          <w:color w:val="FF0000"/>
          <w:sz w:val="28"/>
          <w:szCs w:val="28"/>
        </w:rPr>
        <w:t>5.000.000 đồng/người/tháng</w:t>
      </w:r>
      <w:r>
        <w:rPr>
          <w:color w:val="FF0000"/>
          <w:sz w:val="28"/>
          <w:szCs w:val="28"/>
        </w:rPr>
        <w:t xml:space="preserve"> đối với giám định viên tư pháp đang thực hiện nhiệm vụ tại Phòng Kỹ thuật hình sự Công an tỉnh Thanh Hóa và Trung tâm Pháp y và Giám định y khoa th</w:t>
      </w:r>
      <w:r>
        <w:rPr>
          <w:color w:val="FF0000"/>
          <w:sz w:val="28"/>
          <w:szCs w:val="28"/>
        </w:rPr>
        <w:t>uộc Sở Y tế.</w:t>
      </w:r>
    </w:p>
    <w:p w:rsidR="00A61097" w:rsidRDefault="00B13B15">
      <w:pPr>
        <w:pStyle w:val="isselectedend"/>
        <w:spacing w:before="60" w:beforeAutospacing="0" w:after="0" w:afterAutospacing="0" w:line="264" w:lineRule="auto"/>
        <w:jc w:val="both"/>
        <w:rPr>
          <w:color w:val="FF0000"/>
          <w:sz w:val="28"/>
          <w:szCs w:val="28"/>
        </w:rPr>
      </w:pPr>
      <w:r>
        <w:rPr>
          <w:color w:val="FF0000"/>
          <w:sz w:val="28"/>
          <w:szCs w:val="28"/>
        </w:rPr>
        <w:tab/>
        <w:t xml:space="preserve">- Quy định mức hỗ trợ theo vụ việc là </w:t>
      </w:r>
      <w:r>
        <w:rPr>
          <w:rStyle w:val="Strong"/>
          <w:color w:val="FF0000"/>
          <w:sz w:val="28"/>
          <w:szCs w:val="28"/>
        </w:rPr>
        <w:t>3.000.000 đồng/người/vụ việc</w:t>
      </w:r>
      <w:r>
        <w:rPr>
          <w:color w:val="FF0000"/>
          <w:sz w:val="28"/>
          <w:szCs w:val="28"/>
        </w:rPr>
        <w:t xml:space="preserve"> đối với giám định viên tư pháp và người giám định tư pháp theo vụ việc thuộc các cơ quan nhà nước, đơn vị sự nghiệp công lập trên địa bàn tỉnh khi thực hiện giám định theo quy</w:t>
      </w:r>
      <w:r>
        <w:rPr>
          <w:color w:val="FF0000"/>
          <w:sz w:val="28"/>
          <w:szCs w:val="28"/>
        </w:rPr>
        <w:t>ết định trưng cầu hoặc yêu cầu giám định của cơ quan, người có thẩm quyền theo quy định của pháp luật.</w:t>
      </w:r>
    </w:p>
    <w:p w:rsidR="00A61097" w:rsidRDefault="00B13B15">
      <w:pPr>
        <w:spacing w:before="60" w:line="264" w:lineRule="auto"/>
        <w:ind w:left="720"/>
        <w:jc w:val="both"/>
        <w:rPr>
          <w:color w:val="FF0000"/>
          <w:sz w:val="28"/>
          <w:szCs w:val="28"/>
        </w:rPr>
      </w:pPr>
      <w:r>
        <w:rPr>
          <w:rStyle w:val="Strong"/>
          <w:color w:val="FF0000"/>
          <w:sz w:val="28"/>
          <w:szCs w:val="28"/>
          <w:lang w:val="en-GB"/>
        </w:rPr>
        <w:t xml:space="preserve">3. </w:t>
      </w:r>
      <w:r>
        <w:rPr>
          <w:rStyle w:val="Strong"/>
          <w:color w:val="FF0000"/>
          <w:sz w:val="28"/>
          <w:szCs w:val="28"/>
        </w:rPr>
        <w:t>Về nguyên tắc và điều kiện thực hiện</w:t>
      </w:r>
    </w:p>
    <w:p w:rsidR="00A61097" w:rsidRDefault="00B13B15">
      <w:pPr>
        <w:pStyle w:val="isselectedend"/>
        <w:spacing w:before="60" w:beforeAutospacing="0" w:after="0" w:afterAutospacing="0" w:line="264" w:lineRule="auto"/>
        <w:jc w:val="both"/>
        <w:rPr>
          <w:color w:val="FF0000"/>
          <w:sz w:val="28"/>
          <w:szCs w:val="28"/>
        </w:rPr>
      </w:pPr>
      <w:r>
        <w:rPr>
          <w:color w:val="FF0000"/>
          <w:sz w:val="28"/>
          <w:szCs w:val="28"/>
        </w:rPr>
        <w:tab/>
        <w:t xml:space="preserve">Nghị quyết quy định nguyên tắc thực hiện chính sách bảo đảm đúng đối tượng, công khai, minh bạch, đúng quy định </w:t>
      </w:r>
      <w:r>
        <w:rPr>
          <w:color w:val="FF0000"/>
          <w:sz w:val="28"/>
          <w:szCs w:val="28"/>
        </w:rPr>
        <w:t>của pháp luật; chính sách hỗ trợ được thực hiện độc lập với chế độ bồi dưỡng giám định tư pháp và các chế độ, chính sách khác theo quy định của pháp luật; mỗi vụ việc giám định chỉ được hưởng hỗ trợ một lần theo quy định của Nghị quyết.</w:t>
      </w:r>
    </w:p>
    <w:p w:rsidR="00A61097" w:rsidRDefault="00B13B15">
      <w:pPr>
        <w:pStyle w:val="isselectedend"/>
        <w:spacing w:before="60" w:beforeAutospacing="0" w:after="0" w:afterAutospacing="0" w:line="264" w:lineRule="auto"/>
        <w:jc w:val="both"/>
        <w:rPr>
          <w:color w:val="FF0000"/>
          <w:sz w:val="28"/>
          <w:szCs w:val="28"/>
        </w:rPr>
      </w:pPr>
      <w:r>
        <w:rPr>
          <w:color w:val="FF0000"/>
          <w:sz w:val="28"/>
          <w:szCs w:val="28"/>
        </w:rPr>
        <w:tab/>
      </w:r>
      <w:proofErr w:type="gramStart"/>
      <w:r>
        <w:rPr>
          <w:color w:val="FF0000"/>
          <w:sz w:val="28"/>
          <w:szCs w:val="28"/>
        </w:rPr>
        <w:t>Đồng thời, quy địn</w:t>
      </w:r>
      <w:r>
        <w:rPr>
          <w:color w:val="FF0000"/>
          <w:sz w:val="28"/>
          <w:szCs w:val="28"/>
        </w:rPr>
        <w:t>h cụ thể điều kiện được hưởng hỗ trợ, hồ sơ thanh toán, trách nhiệm lập dự toán, chi trả, thanh quyết toán kinh phí đối với từng nhóm đối tượng nhằm bảo đảm việc triển khai thực hiện thống nhất, chặt chẽ và đúng quy định.</w:t>
      </w:r>
      <w:proofErr w:type="gramEnd"/>
    </w:p>
    <w:p w:rsidR="00A61097" w:rsidRDefault="00B13B15">
      <w:pPr>
        <w:pStyle w:val="isselectedend"/>
        <w:spacing w:before="60" w:beforeAutospacing="0" w:after="0" w:afterAutospacing="0" w:line="264" w:lineRule="auto"/>
        <w:jc w:val="both"/>
        <w:rPr>
          <w:color w:val="FF0000"/>
          <w:sz w:val="28"/>
          <w:szCs w:val="28"/>
        </w:rPr>
      </w:pPr>
      <w:r>
        <w:rPr>
          <w:color w:val="FF0000"/>
          <w:sz w:val="28"/>
          <w:szCs w:val="28"/>
        </w:rPr>
        <w:tab/>
      </w:r>
      <w:r>
        <w:rPr>
          <w:b/>
          <w:color w:val="FF0000"/>
          <w:sz w:val="28"/>
          <w:szCs w:val="28"/>
        </w:rPr>
        <w:t>4.</w:t>
      </w:r>
      <w:r>
        <w:rPr>
          <w:color w:val="FF0000"/>
          <w:sz w:val="28"/>
          <w:szCs w:val="28"/>
        </w:rPr>
        <w:t xml:space="preserve"> </w:t>
      </w:r>
      <w:r>
        <w:rPr>
          <w:rStyle w:val="Strong"/>
          <w:color w:val="FF0000"/>
          <w:sz w:val="28"/>
          <w:szCs w:val="28"/>
        </w:rPr>
        <w:t xml:space="preserve">Về nguồn kinh phí và tổ chức </w:t>
      </w:r>
      <w:r>
        <w:rPr>
          <w:rStyle w:val="Strong"/>
          <w:color w:val="FF0000"/>
          <w:sz w:val="28"/>
          <w:szCs w:val="28"/>
        </w:rPr>
        <w:t>thực hiện</w:t>
      </w:r>
    </w:p>
    <w:p w:rsidR="00A61097" w:rsidRDefault="00B13B15">
      <w:pPr>
        <w:pStyle w:val="isselectedend"/>
        <w:spacing w:before="60" w:beforeAutospacing="0" w:after="0" w:afterAutospacing="0" w:line="264" w:lineRule="auto"/>
        <w:jc w:val="both"/>
        <w:rPr>
          <w:color w:val="FF0000"/>
          <w:sz w:val="28"/>
          <w:szCs w:val="28"/>
        </w:rPr>
      </w:pPr>
      <w:r>
        <w:rPr>
          <w:color w:val="FF0000"/>
          <w:sz w:val="28"/>
          <w:szCs w:val="28"/>
        </w:rPr>
        <w:tab/>
        <w:t xml:space="preserve">Kinh phí thực hiện chính sách do ngân sách cấp tỉnh bảo đảm </w:t>
      </w:r>
      <w:proofErr w:type="gramStart"/>
      <w:r>
        <w:rPr>
          <w:color w:val="FF0000"/>
          <w:sz w:val="28"/>
          <w:szCs w:val="28"/>
        </w:rPr>
        <w:t>theo</w:t>
      </w:r>
      <w:proofErr w:type="gramEnd"/>
      <w:r>
        <w:rPr>
          <w:color w:val="FF0000"/>
          <w:sz w:val="28"/>
          <w:szCs w:val="28"/>
        </w:rPr>
        <w:t xml:space="preserve"> phân cấp ngân sách nhà nước và được bố trí trong dự toán chi thường xuyên hằng năm của các cơ quan, đơn vị. Dự thảo Nghị quyết giao Ủy ban nhân dân tỉnh tổ chức triển khai thực hiệ</w:t>
      </w:r>
      <w:r>
        <w:rPr>
          <w:color w:val="FF0000"/>
          <w:sz w:val="28"/>
          <w:szCs w:val="28"/>
        </w:rPr>
        <w:t xml:space="preserve">n; chỉ đạo các cơ quan, đơn vị có liên quan thực hiện việc lập dự toán, quản lý, sử dụng, thanh toán và quyết toán kinh phí </w:t>
      </w:r>
      <w:proofErr w:type="gramStart"/>
      <w:r>
        <w:rPr>
          <w:color w:val="FF0000"/>
          <w:sz w:val="28"/>
          <w:szCs w:val="28"/>
        </w:rPr>
        <w:t>theo</w:t>
      </w:r>
      <w:proofErr w:type="gramEnd"/>
      <w:r>
        <w:rPr>
          <w:color w:val="FF0000"/>
          <w:sz w:val="28"/>
          <w:szCs w:val="28"/>
        </w:rPr>
        <w:t xml:space="preserve"> đúng quy định của pháp luật.</w:t>
      </w:r>
    </w:p>
    <w:p w:rsidR="00A61097" w:rsidRDefault="00B13B15">
      <w:pPr>
        <w:pStyle w:val="NormalWeb"/>
        <w:spacing w:before="60" w:beforeAutospacing="0" w:after="0" w:afterAutospacing="0" w:line="264" w:lineRule="auto"/>
        <w:jc w:val="both"/>
        <w:rPr>
          <w:color w:val="FF0000"/>
          <w:sz w:val="28"/>
          <w:szCs w:val="28"/>
        </w:rPr>
      </w:pPr>
      <w:r>
        <w:rPr>
          <w:color w:val="FF0000"/>
          <w:sz w:val="28"/>
          <w:szCs w:val="28"/>
        </w:rPr>
        <w:tab/>
        <w:t xml:space="preserve">Theo phương </w:t>
      </w:r>
      <w:proofErr w:type="gramStart"/>
      <w:r>
        <w:rPr>
          <w:color w:val="FF0000"/>
          <w:sz w:val="28"/>
          <w:szCs w:val="28"/>
        </w:rPr>
        <w:t>án</w:t>
      </w:r>
      <w:proofErr w:type="gramEnd"/>
      <w:r>
        <w:rPr>
          <w:color w:val="FF0000"/>
          <w:sz w:val="28"/>
          <w:szCs w:val="28"/>
        </w:rPr>
        <w:t xml:space="preserve"> đề xuất, tổng kinh phí thực hiện chính sách dự kiến khoảng </w:t>
      </w:r>
      <w:r>
        <w:rPr>
          <w:rStyle w:val="Strong"/>
          <w:color w:val="FF0000"/>
          <w:sz w:val="28"/>
          <w:szCs w:val="28"/>
        </w:rPr>
        <w:t>3,516 tỷ đồng/năm</w:t>
      </w:r>
      <w:r>
        <w:rPr>
          <w:color w:val="FF0000"/>
          <w:sz w:val="28"/>
          <w:szCs w:val="28"/>
        </w:rPr>
        <w:t>, được</w:t>
      </w:r>
      <w:r>
        <w:rPr>
          <w:color w:val="FF0000"/>
          <w:sz w:val="28"/>
          <w:szCs w:val="28"/>
        </w:rPr>
        <w:t xml:space="preserve"> bảo đảm từ ngân sách địa phương. Việc ban </w:t>
      </w:r>
      <w:r>
        <w:rPr>
          <w:color w:val="FF0000"/>
          <w:sz w:val="28"/>
          <w:szCs w:val="28"/>
        </w:rPr>
        <w:lastRenderedPageBreak/>
        <w:t>hành Nghị quyết không làm phát sinh thủ tục hành chính mới, góp phần động viên, khuyến khích đội ngũ giám định viên tư pháp, người giám định tư pháp theo vụ việc yên tâm công tác, nâng cao chất lượng hoạt động giá</w:t>
      </w:r>
      <w:r>
        <w:rPr>
          <w:color w:val="FF0000"/>
          <w:sz w:val="28"/>
          <w:szCs w:val="28"/>
        </w:rPr>
        <w:t>m định tư pháp và thu hút người có trình độ chuyên môn cao tham gia hoạt động giám định tư pháp trên địa bàn tỉnh.</w:t>
      </w:r>
    </w:p>
    <w:p w:rsidR="00A61097" w:rsidRDefault="00B13B15">
      <w:pPr>
        <w:pStyle w:val="NormalWeb"/>
        <w:spacing w:before="60" w:beforeAutospacing="0" w:after="0" w:afterAutospacing="0" w:line="264" w:lineRule="auto"/>
        <w:ind w:firstLine="567"/>
        <w:jc w:val="both"/>
        <w:rPr>
          <w:b/>
          <w:spacing w:val="-2"/>
          <w:sz w:val="28"/>
          <w:szCs w:val="28"/>
        </w:rPr>
      </w:pPr>
      <w:r>
        <w:rPr>
          <w:b/>
          <w:spacing w:val="-2"/>
          <w:sz w:val="28"/>
          <w:szCs w:val="28"/>
        </w:rPr>
        <w:t>V. BỐ CỤC VÀ NỘI DUNG CƠ BẢN CỦA DỰ THẢO NGHỊ QUYẾT</w:t>
      </w:r>
    </w:p>
    <w:p w:rsidR="00A61097" w:rsidRDefault="00B13B15">
      <w:pPr>
        <w:pStyle w:val="NormalWeb"/>
        <w:spacing w:before="60" w:beforeAutospacing="0" w:after="0" w:afterAutospacing="0" w:line="264" w:lineRule="auto"/>
        <w:ind w:firstLine="567"/>
        <w:jc w:val="both"/>
        <w:rPr>
          <w:b/>
          <w:spacing w:val="-2"/>
          <w:sz w:val="28"/>
          <w:szCs w:val="28"/>
        </w:rPr>
      </w:pPr>
      <w:r>
        <w:rPr>
          <w:b/>
          <w:spacing w:val="-2"/>
          <w:sz w:val="28"/>
          <w:szCs w:val="28"/>
        </w:rPr>
        <w:t xml:space="preserve">1. Phạm </w:t>
      </w:r>
      <w:proofErr w:type="gramStart"/>
      <w:r>
        <w:rPr>
          <w:b/>
          <w:spacing w:val="-2"/>
          <w:sz w:val="28"/>
          <w:szCs w:val="28"/>
        </w:rPr>
        <w:t>vi</w:t>
      </w:r>
      <w:proofErr w:type="gramEnd"/>
      <w:r>
        <w:rPr>
          <w:b/>
          <w:spacing w:val="-2"/>
          <w:sz w:val="28"/>
          <w:szCs w:val="28"/>
        </w:rPr>
        <w:t xml:space="preserve"> điều chỉnh</w:t>
      </w:r>
    </w:p>
    <w:p w:rsidR="00A61097" w:rsidRDefault="00B13B15">
      <w:pPr>
        <w:pStyle w:val="NormalWeb"/>
        <w:spacing w:before="60" w:beforeAutospacing="0" w:after="0" w:afterAutospacing="0" w:line="264" w:lineRule="auto"/>
        <w:ind w:firstLine="567"/>
        <w:jc w:val="both"/>
        <w:rPr>
          <w:spacing w:val="-2"/>
          <w:sz w:val="28"/>
          <w:szCs w:val="28"/>
        </w:rPr>
      </w:pPr>
      <w:r>
        <w:rPr>
          <w:spacing w:val="-2"/>
          <w:sz w:val="28"/>
          <w:szCs w:val="28"/>
        </w:rPr>
        <w:t>Nghị quyết quy định mức hỗ trợ đối với giám định viên tư pháp và ng</w:t>
      </w:r>
      <w:r>
        <w:rPr>
          <w:spacing w:val="-2"/>
          <w:sz w:val="28"/>
          <w:szCs w:val="28"/>
        </w:rPr>
        <w:t xml:space="preserve">ười giám định tư pháp </w:t>
      </w:r>
      <w:proofErr w:type="gramStart"/>
      <w:r>
        <w:rPr>
          <w:spacing w:val="-2"/>
          <w:sz w:val="28"/>
          <w:szCs w:val="28"/>
        </w:rPr>
        <w:t>theo</w:t>
      </w:r>
      <w:proofErr w:type="gramEnd"/>
      <w:r>
        <w:rPr>
          <w:spacing w:val="-2"/>
          <w:sz w:val="28"/>
          <w:szCs w:val="28"/>
        </w:rPr>
        <w:t xml:space="preserve"> vụ việc đang công tác tại các cơ quan nhà nước, đơn vị sự nghiệp công lập trên địa bàn tỉnh Thanh Hóa.</w:t>
      </w:r>
    </w:p>
    <w:p w:rsidR="00A61097" w:rsidRDefault="00B13B15">
      <w:pPr>
        <w:pStyle w:val="NormalWeb"/>
        <w:spacing w:before="60" w:beforeAutospacing="0" w:after="0" w:afterAutospacing="0" w:line="264" w:lineRule="auto"/>
        <w:ind w:firstLine="567"/>
        <w:jc w:val="both"/>
        <w:rPr>
          <w:b/>
          <w:spacing w:val="-2"/>
          <w:sz w:val="28"/>
          <w:szCs w:val="28"/>
        </w:rPr>
      </w:pPr>
      <w:r>
        <w:rPr>
          <w:b/>
          <w:spacing w:val="-2"/>
          <w:sz w:val="28"/>
          <w:szCs w:val="28"/>
        </w:rPr>
        <w:t>2. Đối tượng áp dụng</w:t>
      </w:r>
    </w:p>
    <w:p w:rsidR="00A61097" w:rsidRDefault="00B13B15">
      <w:pPr>
        <w:spacing w:before="45" w:line="264" w:lineRule="auto"/>
        <w:ind w:firstLine="570"/>
        <w:jc w:val="both"/>
        <w:rPr>
          <w:spacing w:val="-2"/>
          <w:sz w:val="28"/>
          <w:szCs w:val="28"/>
        </w:rPr>
      </w:pPr>
      <w:r>
        <w:rPr>
          <w:spacing w:val="-2"/>
          <w:sz w:val="28"/>
          <w:szCs w:val="28"/>
        </w:rPr>
        <w:t>a) Giám định viên tư pháp.</w:t>
      </w:r>
    </w:p>
    <w:p w:rsidR="00A61097" w:rsidRDefault="00B13B15">
      <w:pPr>
        <w:spacing w:before="45" w:line="264" w:lineRule="auto"/>
        <w:ind w:firstLine="570"/>
        <w:jc w:val="both"/>
        <w:rPr>
          <w:spacing w:val="-2"/>
          <w:sz w:val="28"/>
          <w:szCs w:val="28"/>
        </w:rPr>
      </w:pPr>
      <w:r>
        <w:rPr>
          <w:spacing w:val="-2"/>
          <w:sz w:val="28"/>
          <w:szCs w:val="28"/>
        </w:rPr>
        <w:t>b) Người giám định tư pháp theo vụ việc.</w:t>
      </w:r>
    </w:p>
    <w:p w:rsidR="00A61097" w:rsidRDefault="00B13B15">
      <w:pPr>
        <w:spacing w:before="45" w:line="264" w:lineRule="auto"/>
        <w:ind w:firstLine="570"/>
        <w:jc w:val="both"/>
        <w:rPr>
          <w:spacing w:val="-2"/>
          <w:sz w:val="28"/>
          <w:szCs w:val="28"/>
        </w:rPr>
      </w:pPr>
      <w:r>
        <w:rPr>
          <w:spacing w:val="-2"/>
          <w:sz w:val="28"/>
          <w:szCs w:val="28"/>
        </w:rPr>
        <w:t>c) Các cơ quan, tổ chức, cá nhân có l</w:t>
      </w:r>
      <w:r>
        <w:rPr>
          <w:spacing w:val="-2"/>
          <w:sz w:val="28"/>
          <w:szCs w:val="28"/>
        </w:rPr>
        <w:t>iên quan.</w:t>
      </w:r>
    </w:p>
    <w:p w:rsidR="00A61097" w:rsidRDefault="00B13B15">
      <w:pPr>
        <w:pStyle w:val="NormalWeb"/>
        <w:spacing w:before="60" w:beforeAutospacing="0" w:after="0" w:afterAutospacing="0" w:line="264" w:lineRule="auto"/>
        <w:ind w:firstLine="567"/>
        <w:jc w:val="both"/>
        <w:rPr>
          <w:b/>
          <w:spacing w:val="-2"/>
          <w:sz w:val="28"/>
          <w:szCs w:val="28"/>
        </w:rPr>
      </w:pPr>
      <w:r>
        <w:rPr>
          <w:b/>
          <w:spacing w:val="-2"/>
          <w:sz w:val="28"/>
          <w:szCs w:val="28"/>
        </w:rPr>
        <w:t>3. Bố cục của dự thảo Nghị quyết</w:t>
      </w:r>
    </w:p>
    <w:p w:rsidR="00A61097" w:rsidRDefault="00B13B15">
      <w:pPr>
        <w:pStyle w:val="NormalWeb"/>
        <w:spacing w:before="60" w:beforeAutospacing="0" w:after="0" w:afterAutospacing="0" w:line="264" w:lineRule="auto"/>
        <w:ind w:firstLine="567"/>
        <w:jc w:val="both"/>
        <w:rPr>
          <w:spacing w:val="-2"/>
          <w:sz w:val="28"/>
          <w:szCs w:val="28"/>
        </w:rPr>
      </w:pPr>
      <w:r>
        <w:rPr>
          <w:spacing w:val="-2"/>
          <w:sz w:val="28"/>
          <w:szCs w:val="28"/>
        </w:rPr>
        <w:t>Dự thảo Nghị quyết gồm 06 điều:</w:t>
      </w:r>
    </w:p>
    <w:p w:rsidR="00A61097" w:rsidRDefault="00B13B15">
      <w:pPr>
        <w:pStyle w:val="NormalWeb"/>
        <w:spacing w:before="60" w:beforeAutospacing="0" w:after="0" w:afterAutospacing="0" w:line="264" w:lineRule="auto"/>
        <w:ind w:firstLine="567"/>
        <w:jc w:val="both"/>
        <w:rPr>
          <w:spacing w:val="-2"/>
          <w:sz w:val="28"/>
          <w:szCs w:val="28"/>
        </w:rPr>
      </w:pPr>
      <w:proofErr w:type="gramStart"/>
      <w:r>
        <w:rPr>
          <w:spacing w:val="-2"/>
          <w:sz w:val="28"/>
          <w:szCs w:val="28"/>
        </w:rPr>
        <w:t>Điều 1.</w:t>
      </w:r>
      <w:proofErr w:type="gramEnd"/>
      <w:r>
        <w:rPr>
          <w:spacing w:val="-2"/>
          <w:sz w:val="28"/>
          <w:szCs w:val="28"/>
        </w:rPr>
        <w:t xml:space="preserve"> Phạm </w:t>
      </w:r>
      <w:proofErr w:type="gramStart"/>
      <w:r>
        <w:rPr>
          <w:spacing w:val="-2"/>
          <w:sz w:val="28"/>
          <w:szCs w:val="28"/>
        </w:rPr>
        <w:t>vi</w:t>
      </w:r>
      <w:proofErr w:type="gramEnd"/>
      <w:r>
        <w:rPr>
          <w:spacing w:val="-2"/>
          <w:sz w:val="28"/>
          <w:szCs w:val="28"/>
        </w:rPr>
        <w:t xml:space="preserve"> điều chỉnh và đối tượng áp dụng.</w:t>
      </w:r>
    </w:p>
    <w:p w:rsidR="00A61097" w:rsidRDefault="00B13B15">
      <w:pPr>
        <w:pStyle w:val="NormalWeb"/>
        <w:spacing w:before="60" w:beforeAutospacing="0" w:after="0" w:afterAutospacing="0" w:line="264" w:lineRule="auto"/>
        <w:ind w:firstLine="567"/>
        <w:jc w:val="both"/>
        <w:rPr>
          <w:spacing w:val="-2"/>
          <w:sz w:val="28"/>
          <w:szCs w:val="28"/>
        </w:rPr>
      </w:pPr>
      <w:proofErr w:type="gramStart"/>
      <w:r>
        <w:rPr>
          <w:spacing w:val="-2"/>
          <w:sz w:val="28"/>
          <w:szCs w:val="28"/>
        </w:rPr>
        <w:t>Điều 2.</w:t>
      </w:r>
      <w:proofErr w:type="gramEnd"/>
      <w:r>
        <w:rPr>
          <w:spacing w:val="-2"/>
          <w:sz w:val="28"/>
          <w:szCs w:val="28"/>
        </w:rPr>
        <w:t xml:space="preserve"> </w:t>
      </w:r>
      <w:proofErr w:type="gramStart"/>
      <w:r>
        <w:rPr>
          <w:spacing w:val="-2"/>
          <w:sz w:val="28"/>
          <w:szCs w:val="28"/>
        </w:rPr>
        <w:t>Chính sách hỗ trợ.</w:t>
      </w:r>
      <w:proofErr w:type="gramEnd"/>
    </w:p>
    <w:p w:rsidR="00A61097" w:rsidRDefault="00B13B15">
      <w:pPr>
        <w:pStyle w:val="Heading2"/>
        <w:spacing w:before="60" w:beforeAutospacing="0" w:after="0" w:afterAutospacing="0" w:line="264" w:lineRule="auto"/>
        <w:ind w:firstLine="570"/>
        <w:jc w:val="both"/>
        <w:rPr>
          <w:b w:val="0"/>
          <w:sz w:val="28"/>
          <w:szCs w:val="28"/>
        </w:rPr>
      </w:pPr>
      <w:proofErr w:type="gramStart"/>
      <w:r>
        <w:rPr>
          <w:b w:val="0"/>
          <w:sz w:val="28"/>
          <w:szCs w:val="28"/>
        </w:rPr>
        <w:t>Điều 3.</w:t>
      </w:r>
      <w:proofErr w:type="gramEnd"/>
      <w:r>
        <w:rPr>
          <w:b w:val="0"/>
          <w:sz w:val="28"/>
          <w:szCs w:val="28"/>
        </w:rPr>
        <w:t xml:space="preserve"> </w:t>
      </w:r>
      <w:proofErr w:type="gramStart"/>
      <w:r>
        <w:rPr>
          <w:b w:val="0"/>
          <w:sz w:val="28"/>
          <w:szCs w:val="28"/>
        </w:rPr>
        <w:t>Nguyên tắc thực hiện.</w:t>
      </w:r>
      <w:proofErr w:type="gramEnd"/>
      <w:r>
        <w:rPr>
          <w:b w:val="0"/>
          <w:sz w:val="28"/>
          <w:szCs w:val="28"/>
        </w:rPr>
        <w:t xml:space="preserve"> </w:t>
      </w:r>
    </w:p>
    <w:p w:rsidR="00A61097" w:rsidRDefault="00B13B15">
      <w:pPr>
        <w:pStyle w:val="NormalWeb"/>
        <w:spacing w:before="60" w:beforeAutospacing="0" w:after="0" w:afterAutospacing="0" w:line="264" w:lineRule="auto"/>
        <w:ind w:firstLine="567"/>
        <w:jc w:val="both"/>
        <w:rPr>
          <w:spacing w:val="-2"/>
          <w:sz w:val="28"/>
          <w:szCs w:val="28"/>
        </w:rPr>
      </w:pPr>
      <w:proofErr w:type="gramStart"/>
      <w:r>
        <w:rPr>
          <w:spacing w:val="-2"/>
          <w:sz w:val="28"/>
          <w:szCs w:val="28"/>
        </w:rPr>
        <w:t>Điều 4.</w:t>
      </w:r>
      <w:proofErr w:type="gramEnd"/>
      <w:r>
        <w:rPr>
          <w:spacing w:val="-2"/>
          <w:sz w:val="28"/>
          <w:szCs w:val="28"/>
        </w:rPr>
        <w:t xml:space="preserve"> </w:t>
      </w:r>
      <w:proofErr w:type="gramStart"/>
      <w:r>
        <w:rPr>
          <w:spacing w:val="-2"/>
          <w:sz w:val="28"/>
          <w:szCs w:val="28"/>
        </w:rPr>
        <w:t xml:space="preserve">Điều kiện hưởng hỗ trợ, hồ sơ thanh toán và nguồn kinh phí thực </w:t>
      </w:r>
      <w:r>
        <w:rPr>
          <w:spacing w:val="-2"/>
          <w:sz w:val="28"/>
          <w:szCs w:val="28"/>
        </w:rPr>
        <w:t>hiện.</w:t>
      </w:r>
      <w:proofErr w:type="gramEnd"/>
    </w:p>
    <w:p w:rsidR="00A61097" w:rsidRDefault="00B13B15">
      <w:pPr>
        <w:pStyle w:val="NormalWeb"/>
        <w:spacing w:before="60" w:beforeAutospacing="0" w:after="0" w:afterAutospacing="0" w:line="264" w:lineRule="auto"/>
        <w:ind w:firstLine="567"/>
        <w:jc w:val="both"/>
        <w:rPr>
          <w:spacing w:val="-2"/>
          <w:sz w:val="28"/>
          <w:szCs w:val="28"/>
        </w:rPr>
      </w:pPr>
      <w:proofErr w:type="gramStart"/>
      <w:r>
        <w:rPr>
          <w:spacing w:val="-2"/>
          <w:sz w:val="28"/>
          <w:szCs w:val="28"/>
        </w:rPr>
        <w:t>Điều 5.</w:t>
      </w:r>
      <w:proofErr w:type="gramEnd"/>
      <w:r>
        <w:rPr>
          <w:spacing w:val="-2"/>
          <w:sz w:val="28"/>
          <w:szCs w:val="28"/>
        </w:rPr>
        <w:t xml:space="preserve"> </w:t>
      </w:r>
      <w:proofErr w:type="gramStart"/>
      <w:r>
        <w:rPr>
          <w:spacing w:val="-2"/>
          <w:sz w:val="28"/>
          <w:szCs w:val="28"/>
        </w:rPr>
        <w:t>Tổ chức thực hiện.</w:t>
      </w:r>
      <w:proofErr w:type="gramEnd"/>
    </w:p>
    <w:p w:rsidR="00A61097" w:rsidRDefault="00B13B15">
      <w:pPr>
        <w:pStyle w:val="NormalWeb"/>
        <w:spacing w:before="60" w:beforeAutospacing="0" w:after="0" w:afterAutospacing="0" w:line="264" w:lineRule="auto"/>
        <w:ind w:firstLine="567"/>
        <w:jc w:val="both"/>
        <w:rPr>
          <w:spacing w:val="-2"/>
          <w:sz w:val="28"/>
          <w:szCs w:val="28"/>
        </w:rPr>
      </w:pPr>
      <w:proofErr w:type="gramStart"/>
      <w:r>
        <w:rPr>
          <w:spacing w:val="-2"/>
          <w:sz w:val="28"/>
          <w:szCs w:val="28"/>
        </w:rPr>
        <w:t>Điều 6.</w:t>
      </w:r>
      <w:proofErr w:type="gramEnd"/>
      <w:r>
        <w:rPr>
          <w:spacing w:val="-2"/>
          <w:sz w:val="28"/>
          <w:szCs w:val="28"/>
        </w:rPr>
        <w:t xml:space="preserve"> </w:t>
      </w:r>
      <w:proofErr w:type="gramStart"/>
      <w:r>
        <w:rPr>
          <w:spacing w:val="-2"/>
          <w:sz w:val="28"/>
          <w:szCs w:val="28"/>
        </w:rPr>
        <w:t>Hiệu lực thi hành.</w:t>
      </w:r>
      <w:proofErr w:type="gramEnd"/>
    </w:p>
    <w:p w:rsidR="00A61097" w:rsidRDefault="00B13B15">
      <w:pPr>
        <w:pStyle w:val="NormalWeb"/>
        <w:spacing w:before="60" w:beforeAutospacing="0" w:after="0" w:afterAutospacing="0" w:line="264" w:lineRule="auto"/>
        <w:ind w:firstLine="567"/>
        <w:jc w:val="both"/>
        <w:rPr>
          <w:b/>
          <w:spacing w:val="-2"/>
          <w:sz w:val="28"/>
          <w:szCs w:val="28"/>
        </w:rPr>
      </w:pPr>
      <w:r>
        <w:rPr>
          <w:b/>
          <w:spacing w:val="-2"/>
          <w:sz w:val="28"/>
          <w:szCs w:val="28"/>
        </w:rPr>
        <w:t>VI. DỰ KIẾN ĐIỀU KIỆN BẢO ĐẢM THI HÀNH NGHỊ QUYẾT</w:t>
      </w:r>
    </w:p>
    <w:p w:rsidR="00A61097" w:rsidRDefault="00B13B15">
      <w:pPr>
        <w:pStyle w:val="NormalWeb"/>
        <w:spacing w:before="60" w:beforeAutospacing="0" w:after="0" w:afterAutospacing="0" w:line="264" w:lineRule="auto"/>
        <w:ind w:firstLine="567"/>
        <w:jc w:val="both"/>
        <w:rPr>
          <w:b/>
          <w:color w:val="FF0000"/>
          <w:spacing w:val="-2"/>
          <w:sz w:val="28"/>
          <w:szCs w:val="28"/>
        </w:rPr>
      </w:pPr>
      <w:r>
        <w:rPr>
          <w:b/>
          <w:color w:val="FF0000"/>
          <w:spacing w:val="-2"/>
          <w:sz w:val="28"/>
          <w:szCs w:val="28"/>
        </w:rPr>
        <w:t xml:space="preserve">1. </w:t>
      </w:r>
      <w:r>
        <w:rPr>
          <w:rStyle w:val="Strong"/>
          <w:color w:val="FF0000"/>
          <w:sz w:val="28"/>
          <w:szCs w:val="28"/>
        </w:rPr>
        <w:t>Về tổ chức thực hiện</w:t>
      </w:r>
    </w:p>
    <w:p w:rsidR="00A61097" w:rsidRDefault="00B13B15">
      <w:pPr>
        <w:pStyle w:val="isselectedend"/>
        <w:tabs>
          <w:tab w:val="num" w:pos="567"/>
        </w:tabs>
        <w:spacing w:before="60" w:beforeAutospacing="0" w:after="0" w:afterAutospacing="0" w:line="264" w:lineRule="auto"/>
        <w:jc w:val="both"/>
        <w:rPr>
          <w:color w:val="FF0000"/>
          <w:sz w:val="28"/>
          <w:szCs w:val="28"/>
        </w:rPr>
      </w:pPr>
      <w:r>
        <w:rPr>
          <w:color w:val="FF0000"/>
          <w:sz w:val="28"/>
          <w:szCs w:val="28"/>
        </w:rPr>
        <w:tab/>
        <w:t>Sau khi Nghị quyết được Hội đồng nhân dân tỉnh thông qua, Ủy ban nhân dân tỉnh sẽ chỉ đạo các sở, ban, ngành, Ủy ban nhân</w:t>
      </w:r>
      <w:r>
        <w:rPr>
          <w:color w:val="FF0000"/>
          <w:sz w:val="28"/>
          <w:szCs w:val="28"/>
        </w:rPr>
        <w:t xml:space="preserve"> dân cấp xã và các cơ quan, đơn vị có liên quan tổ chức triển khai thực hiện thống nhất trên địa bàn tỉnh; hướng dẫn việc lập dự toán, quản lý, sử dụng, thanh toán và quyết toán kinh phí thực hiện chính sách theo đúng quy định của pháp luật.</w:t>
      </w:r>
    </w:p>
    <w:p w:rsidR="00A61097" w:rsidRDefault="00B13B15">
      <w:pPr>
        <w:pStyle w:val="isselectedend"/>
        <w:tabs>
          <w:tab w:val="num" w:pos="567"/>
        </w:tabs>
        <w:spacing w:before="60" w:beforeAutospacing="0" w:after="0" w:afterAutospacing="0" w:line="264" w:lineRule="auto"/>
        <w:jc w:val="both"/>
        <w:rPr>
          <w:color w:val="FF0000"/>
          <w:sz w:val="28"/>
          <w:szCs w:val="28"/>
        </w:rPr>
      </w:pPr>
      <w:r>
        <w:rPr>
          <w:color w:val="FF0000"/>
          <w:sz w:val="28"/>
          <w:szCs w:val="28"/>
        </w:rPr>
        <w:tab/>
        <w:t xml:space="preserve">Các cơ quan, </w:t>
      </w:r>
      <w:r>
        <w:rPr>
          <w:color w:val="FF0000"/>
          <w:sz w:val="28"/>
          <w:szCs w:val="28"/>
        </w:rPr>
        <w:t>đơn vị có trách nhiệm rà soát đối tượng, lập dự toán kinh phí, tổ chức chi trả đúng đối tượng, đúng điều kiện, đúng mức hỗ trợ; đồng thời thực hiện việc quản lý, sử dụng và quyết toán kinh phí theo quy định của pháp luật về ngân sách nhà nước.</w:t>
      </w:r>
    </w:p>
    <w:p w:rsidR="00A61097" w:rsidRDefault="00B13B15">
      <w:pPr>
        <w:pStyle w:val="isselectedend"/>
        <w:tabs>
          <w:tab w:val="num" w:pos="567"/>
        </w:tabs>
        <w:spacing w:before="60" w:beforeAutospacing="0" w:after="0" w:afterAutospacing="0" w:line="264" w:lineRule="auto"/>
        <w:jc w:val="both"/>
        <w:rPr>
          <w:color w:val="FF0000"/>
          <w:sz w:val="28"/>
          <w:szCs w:val="28"/>
        </w:rPr>
      </w:pPr>
      <w:r>
        <w:rPr>
          <w:color w:val="FF0000"/>
          <w:sz w:val="28"/>
          <w:szCs w:val="28"/>
        </w:rPr>
        <w:tab/>
        <w:t xml:space="preserve">2. </w:t>
      </w:r>
      <w:r>
        <w:rPr>
          <w:rStyle w:val="Strong"/>
          <w:color w:val="FF0000"/>
          <w:sz w:val="28"/>
          <w:szCs w:val="28"/>
        </w:rPr>
        <w:t>Về nguồn</w:t>
      </w:r>
      <w:r>
        <w:rPr>
          <w:rStyle w:val="Strong"/>
          <w:color w:val="FF0000"/>
          <w:sz w:val="28"/>
          <w:szCs w:val="28"/>
        </w:rPr>
        <w:t xml:space="preserve"> lực bảo đảm thi hành</w:t>
      </w:r>
    </w:p>
    <w:p w:rsidR="00A61097" w:rsidRDefault="00B13B15">
      <w:pPr>
        <w:pStyle w:val="isselectedend"/>
        <w:tabs>
          <w:tab w:val="num" w:pos="567"/>
        </w:tabs>
        <w:spacing w:before="60" w:beforeAutospacing="0" w:after="0" w:afterAutospacing="0" w:line="264" w:lineRule="auto"/>
        <w:jc w:val="both"/>
        <w:rPr>
          <w:color w:val="FF0000"/>
          <w:sz w:val="28"/>
          <w:szCs w:val="28"/>
        </w:rPr>
      </w:pPr>
      <w:r>
        <w:rPr>
          <w:color w:val="FF0000"/>
          <w:sz w:val="28"/>
          <w:szCs w:val="28"/>
        </w:rPr>
        <w:lastRenderedPageBreak/>
        <w:tab/>
        <w:t xml:space="preserve">Kinh phí thực hiện Nghị quyết do ngân sách cấp tỉnh bảo đảm </w:t>
      </w:r>
      <w:proofErr w:type="gramStart"/>
      <w:r>
        <w:rPr>
          <w:color w:val="FF0000"/>
          <w:sz w:val="28"/>
          <w:szCs w:val="28"/>
        </w:rPr>
        <w:t>theo</w:t>
      </w:r>
      <w:proofErr w:type="gramEnd"/>
      <w:r>
        <w:rPr>
          <w:color w:val="FF0000"/>
          <w:sz w:val="28"/>
          <w:szCs w:val="28"/>
        </w:rPr>
        <w:t xml:space="preserve"> phân cấp ngân sách nhà nước và được bố trí trong dự toán chi thường xuyên hằng năm của các cơ quan, đơn vị theo quy định của Luật Ngân sách nhà nước.</w:t>
      </w:r>
    </w:p>
    <w:p w:rsidR="00A61097" w:rsidRDefault="00B13B15">
      <w:pPr>
        <w:pStyle w:val="isselectedend"/>
        <w:tabs>
          <w:tab w:val="num" w:pos="567"/>
        </w:tabs>
        <w:spacing w:before="60" w:beforeAutospacing="0" w:after="0" w:afterAutospacing="0" w:line="264" w:lineRule="auto"/>
        <w:jc w:val="both"/>
        <w:rPr>
          <w:color w:val="FF0000"/>
          <w:sz w:val="28"/>
          <w:szCs w:val="28"/>
        </w:rPr>
      </w:pPr>
      <w:r>
        <w:rPr>
          <w:color w:val="FF0000"/>
          <w:sz w:val="28"/>
          <w:szCs w:val="28"/>
        </w:rPr>
        <w:tab/>
        <w:t>Việc triển khai t</w:t>
      </w:r>
      <w:r>
        <w:rPr>
          <w:color w:val="FF0000"/>
          <w:sz w:val="28"/>
          <w:szCs w:val="28"/>
        </w:rPr>
        <w:t>hực hiện Nghị quyết được thực hiện bằng đội ngũ cán bộ, công chức, viên chức hiện có của các cơ quan, đơn vị; không làm phát sinh tổ chức bộ máy, biên chế hoặc thủ tục hành chính mới.</w:t>
      </w:r>
    </w:p>
    <w:p w:rsidR="00A61097" w:rsidRDefault="00B13B15">
      <w:pPr>
        <w:pStyle w:val="isselectedend"/>
        <w:tabs>
          <w:tab w:val="num" w:pos="567"/>
        </w:tabs>
        <w:spacing w:before="60" w:beforeAutospacing="0" w:after="0" w:afterAutospacing="0" w:line="264" w:lineRule="auto"/>
        <w:jc w:val="both"/>
        <w:rPr>
          <w:color w:val="FF0000"/>
          <w:sz w:val="28"/>
          <w:szCs w:val="28"/>
        </w:rPr>
      </w:pPr>
      <w:r>
        <w:rPr>
          <w:color w:val="FF0000"/>
          <w:sz w:val="28"/>
          <w:szCs w:val="28"/>
        </w:rPr>
        <w:tab/>
      </w:r>
      <w:r>
        <w:rPr>
          <w:b/>
          <w:color w:val="FF0000"/>
          <w:sz w:val="28"/>
          <w:szCs w:val="28"/>
        </w:rPr>
        <w:t>3.</w:t>
      </w:r>
      <w:r>
        <w:rPr>
          <w:color w:val="FF0000"/>
          <w:sz w:val="28"/>
          <w:szCs w:val="28"/>
        </w:rPr>
        <w:t xml:space="preserve"> </w:t>
      </w:r>
      <w:r>
        <w:rPr>
          <w:rStyle w:val="Strong"/>
          <w:color w:val="FF0000"/>
          <w:sz w:val="28"/>
          <w:szCs w:val="28"/>
        </w:rPr>
        <w:t xml:space="preserve">Về công tác </w:t>
      </w:r>
      <w:proofErr w:type="gramStart"/>
      <w:r>
        <w:rPr>
          <w:rStyle w:val="Strong"/>
          <w:color w:val="FF0000"/>
          <w:sz w:val="28"/>
          <w:szCs w:val="28"/>
        </w:rPr>
        <w:t>theo</w:t>
      </w:r>
      <w:proofErr w:type="gramEnd"/>
      <w:r>
        <w:rPr>
          <w:rStyle w:val="Strong"/>
          <w:color w:val="FF0000"/>
          <w:sz w:val="28"/>
          <w:szCs w:val="28"/>
        </w:rPr>
        <w:t xml:space="preserve"> dõi, kiểm tra và tuyên truyền</w:t>
      </w:r>
    </w:p>
    <w:p w:rsidR="00A61097" w:rsidRDefault="00B13B15">
      <w:pPr>
        <w:pStyle w:val="NormalWeb"/>
        <w:tabs>
          <w:tab w:val="num" w:pos="567"/>
        </w:tabs>
        <w:spacing w:before="60" w:beforeAutospacing="0" w:after="0" w:afterAutospacing="0" w:line="264" w:lineRule="auto"/>
        <w:jc w:val="both"/>
        <w:rPr>
          <w:color w:val="FF0000"/>
          <w:sz w:val="28"/>
          <w:szCs w:val="28"/>
        </w:rPr>
      </w:pPr>
      <w:r>
        <w:rPr>
          <w:color w:val="FF0000"/>
          <w:sz w:val="28"/>
          <w:szCs w:val="28"/>
        </w:rPr>
        <w:tab/>
        <w:t xml:space="preserve">Các cơ quan, đơn vị </w:t>
      </w:r>
      <w:r>
        <w:rPr>
          <w:color w:val="FF0000"/>
          <w:sz w:val="28"/>
          <w:szCs w:val="28"/>
        </w:rPr>
        <w:t xml:space="preserve">có liên quan có trách nhiệm tổ chức phổ biến, quán triệt nội dung Nghị quyết đến các đối tượng áp dụng; đồng thời tăng cường công tác theo dõi, kiểm tra việc thực hiện, kịp thời phát hiện, xử lý hoặc báo cáo cấp có thẩm quyền xem xét, giải quyết những khó </w:t>
      </w:r>
      <w:r>
        <w:rPr>
          <w:color w:val="FF0000"/>
          <w:sz w:val="28"/>
          <w:szCs w:val="28"/>
        </w:rPr>
        <w:t>khăn, vướng mắc phát sinh trong quá trình tổ chức thực hiện, bảo đảm chính sách được triển khai thống nhất, công khai, minh bạch và hiệu quả trên địa bàn tỉnh.</w:t>
      </w:r>
    </w:p>
    <w:p w:rsidR="00A61097" w:rsidRDefault="00B13B15">
      <w:pPr>
        <w:pStyle w:val="NormalWeb"/>
        <w:tabs>
          <w:tab w:val="num" w:pos="567"/>
        </w:tabs>
        <w:spacing w:before="60" w:beforeAutospacing="0" w:after="0" w:afterAutospacing="0" w:line="264" w:lineRule="auto"/>
        <w:ind w:firstLine="567"/>
        <w:jc w:val="both"/>
        <w:rPr>
          <w:b/>
          <w:spacing w:val="-2"/>
          <w:sz w:val="28"/>
          <w:szCs w:val="28"/>
        </w:rPr>
      </w:pPr>
      <w:r>
        <w:rPr>
          <w:b/>
          <w:spacing w:val="-2"/>
          <w:sz w:val="28"/>
          <w:szCs w:val="28"/>
        </w:rPr>
        <w:t>4. Thời gian trình thông qua</w:t>
      </w:r>
    </w:p>
    <w:p w:rsidR="00A61097" w:rsidRDefault="00B13B15">
      <w:pPr>
        <w:pStyle w:val="NormalWeb"/>
        <w:tabs>
          <w:tab w:val="num" w:pos="567"/>
        </w:tabs>
        <w:spacing w:before="60" w:beforeAutospacing="0" w:after="0" w:afterAutospacing="0" w:line="264" w:lineRule="auto"/>
        <w:ind w:firstLine="567"/>
        <w:jc w:val="both"/>
        <w:rPr>
          <w:spacing w:val="-2"/>
          <w:sz w:val="28"/>
          <w:szCs w:val="28"/>
        </w:rPr>
      </w:pPr>
      <w:r>
        <w:rPr>
          <w:spacing w:val="-2"/>
          <w:sz w:val="28"/>
          <w:szCs w:val="28"/>
        </w:rPr>
        <w:t xml:space="preserve">Ủy ban nhân dân tỉnh đề nghị Hội đồng nhân dân tỉnh xem xét, thông </w:t>
      </w:r>
      <w:r>
        <w:rPr>
          <w:spacing w:val="-2"/>
          <w:sz w:val="28"/>
          <w:szCs w:val="28"/>
        </w:rPr>
        <w:t>qua dự thảo Nghị quyết tại kỳ họp thường lệ cuối năm 2026.</w:t>
      </w:r>
    </w:p>
    <w:p w:rsidR="00A61097" w:rsidRDefault="00B13B15">
      <w:pPr>
        <w:pStyle w:val="NormalWeb"/>
        <w:tabs>
          <w:tab w:val="num" w:pos="567"/>
        </w:tabs>
        <w:spacing w:before="60" w:beforeAutospacing="0" w:after="0" w:afterAutospacing="0" w:line="264" w:lineRule="auto"/>
        <w:ind w:firstLine="567"/>
        <w:jc w:val="both"/>
        <w:rPr>
          <w:spacing w:val="-2"/>
          <w:sz w:val="28"/>
          <w:szCs w:val="28"/>
        </w:rPr>
      </w:pPr>
      <w:r>
        <w:rPr>
          <w:spacing w:val="-2"/>
          <w:sz w:val="28"/>
          <w:szCs w:val="28"/>
        </w:rPr>
        <w:t>Ủy ban nhân dân tỉnh kính trình Hội đồng nhân dân tỉnh xem xét, thông qua dự thảo Nghị quyết quy định mức hỗ trợ đối với giám định viên tư pháp, người giám định tư pháp theo vụ việc trên địa bàn tỉ</w:t>
      </w:r>
      <w:r>
        <w:rPr>
          <w:spacing w:val="-2"/>
          <w:sz w:val="28"/>
          <w:szCs w:val="28"/>
        </w:rPr>
        <w:t>nh Thanh Hóa./.</w:t>
      </w:r>
    </w:p>
    <w:p w:rsidR="00A61097" w:rsidRDefault="00A61097">
      <w:pPr>
        <w:pStyle w:val="NormalWeb"/>
        <w:spacing w:beforeAutospacing="0" w:afterAutospacing="0"/>
        <w:ind w:firstLine="567"/>
        <w:jc w:val="both"/>
        <w:rPr>
          <w:spacing w:val="-2"/>
          <w:sz w:val="38"/>
          <w:szCs w:val="28"/>
        </w:rPr>
      </w:pPr>
    </w:p>
    <w:tbl>
      <w:tblPr>
        <w:tblW w:w="9464" w:type="dxa"/>
        <w:tblLook w:val="01E0" w:firstRow="1" w:lastRow="1" w:firstColumn="1" w:lastColumn="1" w:noHBand="0" w:noVBand="0"/>
      </w:tblPr>
      <w:tblGrid>
        <w:gridCol w:w="5353"/>
        <w:gridCol w:w="4111"/>
      </w:tblGrid>
      <w:tr w:rsidR="00A61097">
        <w:trPr>
          <w:trHeight w:val="2601"/>
        </w:trPr>
        <w:tc>
          <w:tcPr>
            <w:tcW w:w="5353" w:type="dxa"/>
          </w:tcPr>
          <w:p w:rsidR="00A61097" w:rsidRDefault="00B13B15">
            <w:pPr>
              <w:tabs>
                <w:tab w:val="left" w:pos="7200"/>
              </w:tabs>
              <w:jc w:val="both"/>
              <w:rPr>
                <w:b/>
                <w:sz w:val="28"/>
                <w:szCs w:val="28"/>
                <w:lang w:val="nl-NL"/>
              </w:rPr>
            </w:pPr>
            <w:r>
              <w:rPr>
                <w:b/>
                <w:i/>
                <w:lang w:val="nl-NL"/>
              </w:rPr>
              <w:t xml:space="preserve">Nơi nhận:                                                                                       </w:t>
            </w:r>
          </w:p>
          <w:p w:rsidR="00A61097" w:rsidRDefault="00B13B15">
            <w:pPr>
              <w:jc w:val="both"/>
              <w:rPr>
                <w:sz w:val="22"/>
                <w:szCs w:val="22"/>
                <w:lang w:val="nl-NL"/>
              </w:rPr>
            </w:pPr>
            <w:r>
              <w:rPr>
                <w:sz w:val="22"/>
                <w:szCs w:val="22"/>
                <w:lang w:val="nl-NL"/>
              </w:rPr>
              <w:t>- Như trên;</w:t>
            </w:r>
          </w:p>
          <w:p w:rsidR="00A61097" w:rsidRDefault="00B13B15">
            <w:pPr>
              <w:jc w:val="both"/>
              <w:rPr>
                <w:sz w:val="22"/>
                <w:szCs w:val="22"/>
                <w:lang w:val="nl-NL"/>
              </w:rPr>
            </w:pPr>
            <w:r>
              <w:rPr>
                <w:sz w:val="22"/>
                <w:szCs w:val="22"/>
                <w:lang w:val="nl-NL"/>
              </w:rPr>
              <w:t>- Chủ tịch, các PCT. UBND tỉnh;</w:t>
            </w:r>
            <w:r>
              <w:rPr>
                <w:sz w:val="22"/>
                <w:szCs w:val="22"/>
                <w:lang w:val="nl-NL"/>
              </w:rPr>
              <w:tab/>
            </w:r>
            <w:r>
              <w:rPr>
                <w:sz w:val="22"/>
                <w:szCs w:val="22"/>
                <w:lang w:val="nl-NL"/>
              </w:rPr>
              <w:tab/>
            </w:r>
            <w:r>
              <w:rPr>
                <w:b/>
                <w:sz w:val="28"/>
                <w:szCs w:val="28"/>
                <w:lang w:val="nl-NL"/>
              </w:rPr>
              <w:t xml:space="preserve">  </w:t>
            </w:r>
          </w:p>
          <w:p w:rsidR="00A61097" w:rsidRDefault="00B13B15">
            <w:pPr>
              <w:jc w:val="both"/>
              <w:rPr>
                <w:sz w:val="22"/>
                <w:szCs w:val="22"/>
                <w:lang w:val="nl-NL"/>
              </w:rPr>
            </w:pPr>
            <w:r>
              <w:rPr>
                <w:sz w:val="22"/>
                <w:szCs w:val="22"/>
                <w:lang w:val="nl-NL"/>
              </w:rPr>
              <w:t>- Ban Kinh tế ngân sách HĐND tỉnh;</w:t>
            </w:r>
          </w:p>
          <w:p w:rsidR="00A61097" w:rsidRDefault="00B13B15">
            <w:pPr>
              <w:jc w:val="both"/>
              <w:rPr>
                <w:sz w:val="22"/>
                <w:szCs w:val="22"/>
                <w:lang w:val="nl-NL"/>
              </w:rPr>
            </w:pPr>
            <w:r>
              <w:rPr>
                <w:sz w:val="22"/>
                <w:szCs w:val="22"/>
                <w:lang w:val="nl-NL"/>
              </w:rPr>
              <w:t>- Ban Pháp chế - HĐND tỉnh;</w:t>
            </w:r>
          </w:p>
          <w:p w:rsidR="00A61097" w:rsidRDefault="00B13B15">
            <w:pPr>
              <w:jc w:val="both"/>
              <w:rPr>
                <w:sz w:val="22"/>
                <w:szCs w:val="22"/>
                <w:lang w:val="nl-NL"/>
              </w:rPr>
            </w:pPr>
            <w:r>
              <w:rPr>
                <w:sz w:val="22"/>
                <w:szCs w:val="22"/>
                <w:lang w:val="nl-NL"/>
              </w:rPr>
              <w:t>- Các sở, ban, ngành cấp tỉnh;</w:t>
            </w:r>
          </w:p>
          <w:p w:rsidR="00A61097" w:rsidRDefault="00B13B15">
            <w:pPr>
              <w:jc w:val="both"/>
              <w:rPr>
                <w:sz w:val="22"/>
                <w:szCs w:val="22"/>
                <w:lang w:val="nl-NL"/>
              </w:rPr>
            </w:pPr>
            <w:r>
              <w:rPr>
                <w:sz w:val="22"/>
                <w:szCs w:val="22"/>
                <w:lang w:val="nl-NL"/>
              </w:rPr>
              <w:t>- Văn phòng UBND tỉnh;</w:t>
            </w:r>
          </w:p>
          <w:p w:rsidR="00A61097" w:rsidRDefault="00B13B15">
            <w:pPr>
              <w:jc w:val="both"/>
              <w:rPr>
                <w:sz w:val="22"/>
                <w:szCs w:val="22"/>
                <w:lang w:val="nl-NL"/>
              </w:rPr>
            </w:pPr>
            <w:r>
              <w:rPr>
                <w:sz w:val="22"/>
                <w:szCs w:val="22"/>
                <w:lang w:val="nl-NL"/>
              </w:rPr>
              <w:t>- Lưu: VT.</w:t>
            </w:r>
          </w:p>
          <w:p w:rsidR="00A61097" w:rsidRDefault="00A61097">
            <w:pPr>
              <w:spacing w:before="120" w:after="120"/>
              <w:jc w:val="both"/>
              <w:rPr>
                <w:sz w:val="28"/>
                <w:szCs w:val="28"/>
                <w:lang w:val="nl-NL"/>
              </w:rPr>
            </w:pPr>
          </w:p>
        </w:tc>
        <w:tc>
          <w:tcPr>
            <w:tcW w:w="4111" w:type="dxa"/>
          </w:tcPr>
          <w:p w:rsidR="00A61097" w:rsidRDefault="00B13B15">
            <w:pPr>
              <w:jc w:val="center"/>
              <w:rPr>
                <w:b/>
                <w:sz w:val="28"/>
                <w:szCs w:val="28"/>
                <w:lang w:val="nl-NL"/>
              </w:rPr>
            </w:pPr>
            <w:r>
              <w:rPr>
                <w:b/>
                <w:sz w:val="28"/>
                <w:szCs w:val="28"/>
                <w:lang w:val="nl-NL"/>
              </w:rPr>
              <w:t>TM. ỦY BAN NHÂN DÂN</w:t>
            </w:r>
          </w:p>
          <w:p w:rsidR="00A61097" w:rsidRDefault="00B13B15">
            <w:pPr>
              <w:jc w:val="center"/>
              <w:rPr>
                <w:b/>
                <w:sz w:val="28"/>
                <w:szCs w:val="28"/>
              </w:rPr>
            </w:pPr>
            <w:r>
              <w:rPr>
                <w:b/>
                <w:sz w:val="28"/>
                <w:szCs w:val="28"/>
              </w:rPr>
              <w:t>KT. CHỦ TỊCH</w:t>
            </w:r>
          </w:p>
          <w:p w:rsidR="00A61097" w:rsidRDefault="00B13B15">
            <w:pPr>
              <w:jc w:val="center"/>
              <w:rPr>
                <w:b/>
                <w:sz w:val="28"/>
                <w:szCs w:val="28"/>
              </w:rPr>
            </w:pPr>
            <w:r>
              <w:rPr>
                <w:b/>
                <w:sz w:val="28"/>
                <w:szCs w:val="28"/>
              </w:rPr>
              <w:t>PHÓ CHỦ TỊCH</w:t>
            </w:r>
          </w:p>
          <w:p w:rsidR="00A61097" w:rsidRDefault="00A61097">
            <w:pPr>
              <w:ind w:firstLine="567"/>
              <w:jc w:val="center"/>
              <w:rPr>
                <w:b/>
                <w:sz w:val="28"/>
                <w:szCs w:val="28"/>
              </w:rPr>
            </w:pPr>
          </w:p>
          <w:p w:rsidR="00A61097" w:rsidRDefault="00A61097">
            <w:pPr>
              <w:ind w:firstLine="567"/>
              <w:jc w:val="center"/>
              <w:rPr>
                <w:b/>
                <w:sz w:val="38"/>
                <w:szCs w:val="28"/>
                <w:lang w:val="en-US"/>
              </w:rPr>
            </w:pPr>
          </w:p>
          <w:p w:rsidR="00A61097" w:rsidRDefault="00B13B15">
            <w:pPr>
              <w:ind w:firstLine="567"/>
              <w:jc w:val="center"/>
              <w:rPr>
                <w:b/>
                <w:sz w:val="28"/>
                <w:szCs w:val="28"/>
              </w:rPr>
            </w:pPr>
            <w:r>
              <w:rPr>
                <w:b/>
                <w:sz w:val="28"/>
                <w:szCs w:val="28"/>
              </w:rPr>
              <w:t xml:space="preserve"> </w:t>
            </w:r>
          </w:p>
          <w:p w:rsidR="00A61097" w:rsidRDefault="00A61097">
            <w:pPr>
              <w:ind w:firstLine="567"/>
              <w:jc w:val="center"/>
              <w:rPr>
                <w:b/>
                <w:sz w:val="28"/>
                <w:szCs w:val="28"/>
                <w:lang w:val="en-US"/>
              </w:rPr>
            </w:pPr>
          </w:p>
          <w:p w:rsidR="00A61097" w:rsidRDefault="00B13B15">
            <w:pPr>
              <w:ind w:firstLine="567"/>
              <w:rPr>
                <w:b/>
                <w:sz w:val="28"/>
                <w:szCs w:val="28"/>
                <w:lang w:val="en-US"/>
              </w:rPr>
            </w:pPr>
            <w:r>
              <w:rPr>
                <w:b/>
                <w:sz w:val="28"/>
                <w:szCs w:val="28"/>
                <w:lang w:val="en-US"/>
              </w:rPr>
              <w:t xml:space="preserve">      Lê Quang Hùng</w:t>
            </w:r>
          </w:p>
          <w:p w:rsidR="00A61097" w:rsidRDefault="00B13B15">
            <w:pPr>
              <w:jc w:val="center"/>
              <w:rPr>
                <w:b/>
                <w:sz w:val="28"/>
                <w:szCs w:val="28"/>
                <w:lang w:val="nl-NL"/>
              </w:rPr>
            </w:pPr>
            <w:r>
              <w:rPr>
                <w:b/>
                <w:sz w:val="28"/>
                <w:szCs w:val="28"/>
              </w:rPr>
              <w:t xml:space="preserve">   </w:t>
            </w:r>
          </w:p>
        </w:tc>
      </w:tr>
    </w:tbl>
    <w:p w:rsidR="00A61097" w:rsidRDefault="00A61097"/>
    <w:sectPr w:rsidR="00A61097">
      <w:headerReference w:type="default" r:id="rId9"/>
      <w:pgSz w:w="11907" w:h="16840" w:code="9"/>
      <w:pgMar w:top="1134" w:right="1134" w:bottom="1134" w:left="1843"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3B15" w:rsidRDefault="00B13B15">
      <w:r>
        <w:separator/>
      </w:r>
    </w:p>
  </w:endnote>
  <w:endnote w:type="continuationSeparator" w:id="0">
    <w:p w:rsidR="00B13B15" w:rsidRDefault="00B1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3B15" w:rsidRDefault="00B13B15">
      <w:r>
        <w:separator/>
      </w:r>
    </w:p>
  </w:footnote>
  <w:footnote w:type="continuationSeparator" w:id="0">
    <w:p w:rsidR="00B13B15" w:rsidRDefault="00B13B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5019016"/>
      <w:docPartObj>
        <w:docPartGallery w:val="Page Numbers (Top of Page)"/>
        <w:docPartUnique/>
      </w:docPartObj>
    </w:sdtPr>
    <w:sdtEndPr>
      <w:rPr>
        <w:noProof/>
      </w:rPr>
    </w:sdtEndPr>
    <w:sdtContent>
      <w:p w:rsidR="00A61097" w:rsidRDefault="00B13B15">
        <w:pPr>
          <w:pStyle w:val="Header"/>
          <w:jc w:val="center"/>
        </w:pPr>
        <w:r>
          <w:fldChar w:fldCharType="begin"/>
        </w:r>
        <w:r>
          <w:instrText xml:space="preserve"> PAGE   \* MERGEFORMAT </w:instrText>
        </w:r>
        <w:r>
          <w:fldChar w:fldCharType="separate"/>
        </w:r>
        <w:r w:rsidR="003F1D6C">
          <w:rPr>
            <w:noProof/>
          </w:rPr>
          <w:t>7</w:t>
        </w:r>
        <w:r>
          <w:rPr>
            <w:noProof/>
          </w:rPr>
          <w:fldChar w:fldCharType="end"/>
        </w:r>
      </w:p>
    </w:sdtContent>
  </w:sdt>
  <w:p w:rsidR="00A61097" w:rsidRDefault="00A610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A2C1B"/>
    <w:multiLevelType w:val="hybridMultilevel"/>
    <w:tmpl w:val="7422B922"/>
    <w:lvl w:ilvl="0" w:tplc="994ED7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C03B4F"/>
    <w:multiLevelType w:val="hybridMultilevel"/>
    <w:tmpl w:val="2D5445D0"/>
    <w:lvl w:ilvl="0" w:tplc="623025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6F4049"/>
    <w:multiLevelType w:val="hybridMultilevel"/>
    <w:tmpl w:val="E4E01A6A"/>
    <w:lvl w:ilvl="0" w:tplc="5086737C">
      <w:start w:val="1"/>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
    <w:nsid w:val="0B420F54"/>
    <w:multiLevelType w:val="multilevel"/>
    <w:tmpl w:val="61D241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8362E8"/>
    <w:multiLevelType w:val="hybridMultilevel"/>
    <w:tmpl w:val="BC28F048"/>
    <w:lvl w:ilvl="0" w:tplc="3DD0BAFA">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3C6443B"/>
    <w:multiLevelType w:val="multilevel"/>
    <w:tmpl w:val="BB900E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1B25F3"/>
    <w:multiLevelType w:val="hybridMultilevel"/>
    <w:tmpl w:val="FE2695E4"/>
    <w:lvl w:ilvl="0" w:tplc="063800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9668E8"/>
    <w:multiLevelType w:val="multilevel"/>
    <w:tmpl w:val="9E0A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0247F8"/>
    <w:multiLevelType w:val="multilevel"/>
    <w:tmpl w:val="92B23F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6374446"/>
    <w:multiLevelType w:val="hybridMultilevel"/>
    <w:tmpl w:val="3EE40396"/>
    <w:lvl w:ilvl="0" w:tplc="347CFB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27007369"/>
    <w:multiLevelType w:val="multilevel"/>
    <w:tmpl w:val="9022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6F2FFA"/>
    <w:multiLevelType w:val="multilevel"/>
    <w:tmpl w:val="920C4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0D5B89"/>
    <w:multiLevelType w:val="hybridMultilevel"/>
    <w:tmpl w:val="FAE484FE"/>
    <w:lvl w:ilvl="0" w:tplc="6F4E81A4">
      <w:start w:val="2"/>
      <w:numFmt w:val="bullet"/>
      <w:lvlText w:val="-"/>
      <w:lvlJc w:val="left"/>
      <w:pPr>
        <w:ind w:left="1155" w:hanging="360"/>
      </w:pPr>
      <w:rPr>
        <w:rFonts w:ascii="Times New Roman" w:eastAsia="Times New Roman"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3">
    <w:nsid w:val="33A86F83"/>
    <w:multiLevelType w:val="hybridMultilevel"/>
    <w:tmpl w:val="85E62F74"/>
    <w:lvl w:ilvl="0" w:tplc="97BC9E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3E92BB5"/>
    <w:multiLevelType w:val="multilevel"/>
    <w:tmpl w:val="15D85A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5511A0C"/>
    <w:multiLevelType w:val="hybridMultilevel"/>
    <w:tmpl w:val="98E402B2"/>
    <w:lvl w:ilvl="0" w:tplc="454257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59D7A95"/>
    <w:multiLevelType w:val="hybridMultilevel"/>
    <w:tmpl w:val="B412B0B0"/>
    <w:lvl w:ilvl="0" w:tplc="6F2A35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39774F62"/>
    <w:multiLevelType w:val="hybridMultilevel"/>
    <w:tmpl w:val="AD587732"/>
    <w:lvl w:ilvl="0" w:tplc="66F89D44">
      <w:start w:val="3"/>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E20150A"/>
    <w:multiLevelType w:val="hybridMultilevel"/>
    <w:tmpl w:val="F12EF616"/>
    <w:lvl w:ilvl="0" w:tplc="7D64EB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1C90B75"/>
    <w:multiLevelType w:val="hybridMultilevel"/>
    <w:tmpl w:val="7ABAC4C2"/>
    <w:lvl w:ilvl="0" w:tplc="8392064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3D16D7E"/>
    <w:multiLevelType w:val="multilevel"/>
    <w:tmpl w:val="AA58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32556D"/>
    <w:multiLevelType w:val="multilevel"/>
    <w:tmpl w:val="FCE476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20679F"/>
    <w:multiLevelType w:val="hybridMultilevel"/>
    <w:tmpl w:val="27487ADE"/>
    <w:lvl w:ilvl="0" w:tplc="473AE11A">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CC07234"/>
    <w:multiLevelType w:val="multilevel"/>
    <w:tmpl w:val="F84AF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4F27F6"/>
    <w:multiLevelType w:val="hybridMultilevel"/>
    <w:tmpl w:val="0C1A9FAA"/>
    <w:lvl w:ilvl="0" w:tplc="092AD5F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60A72F61"/>
    <w:multiLevelType w:val="multilevel"/>
    <w:tmpl w:val="94CCD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C7B6C90"/>
    <w:multiLevelType w:val="multilevel"/>
    <w:tmpl w:val="5C746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7681516"/>
    <w:multiLevelType w:val="multilevel"/>
    <w:tmpl w:val="D88ACD58"/>
    <w:lvl w:ilvl="0">
      <w:start w:val="1"/>
      <w:numFmt w:val="decimal"/>
      <w:lvlText w:val="%1."/>
      <w:lvlJc w:val="left"/>
      <w:pPr>
        <w:ind w:left="1069" w:hanging="360"/>
      </w:pPr>
      <w:rPr>
        <w:rFonts w:hint="default"/>
      </w:rPr>
    </w:lvl>
    <w:lvl w:ilvl="1">
      <w:start w:val="2"/>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4"/>
  </w:num>
  <w:num w:numId="2">
    <w:abstractNumId w:val="15"/>
  </w:num>
  <w:num w:numId="3">
    <w:abstractNumId w:val="13"/>
  </w:num>
  <w:num w:numId="4">
    <w:abstractNumId w:val="22"/>
  </w:num>
  <w:num w:numId="5">
    <w:abstractNumId w:val="6"/>
  </w:num>
  <w:num w:numId="6">
    <w:abstractNumId w:val="0"/>
  </w:num>
  <w:num w:numId="7">
    <w:abstractNumId w:val="2"/>
  </w:num>
  <w:num w:numId="8">
    <w:abstractNumId w:val="12"/>
  </w:num>
  <w:num w:numId="9">
    <w:abstractNumId w:val="24"/>
  </w:num>
  <w:num w:numId="10">
    <w:abstractNumId w:val="19"/>
  </w:num>
  <w:num w:numId="11">
    <w:abstractNumId w:val="18"/>
  </w:num>
  <w:num w:numId="12">
    <w:abstractNumId w:val="1"/>
  </w:num>
  <w:num w:numId="13">
    <w:abstractNumId w:val="17"/>
  </w:num>
  <w:num w:numId="14">
    <w:abstractNumId w:val="27"/>
  </w:num>
  <w:num w:numId="15">
    <w:abstractNumId w:val="16"/>
  </w:num>
  <w:num w:numId="16">
    <w:abstractNumId w:val="9"/>
  </w:num>
  <w:num w:numId="17">
    <w:abstractNumId w:val="26"/>
  </w:num>
  <w:num w:numId="18">
    <w:abstractNumId w:val="7"/>
  </w:num>
  <w:num w:numId="19">
    <w:abstractNumId w:val="20"/>
  </w:num>
  <w:num w:numId="20">
    <w:abstractNumId w:val="10"/>
  </w:num>
  <w:num w:numId="21">
    <w:abstractNumId w:val="25"/>
  </w:num>
  <w:num w:numId="22">
    <w:abstractNumId w:val="21"/>
  </w:num>
  <w:num w:numId="23">
    <w:abstractNumId w:val="23"/>
  </w:num>
  <w:num w:numId="24">
    <w:abstractNumId w:val="5"/>
  </w:num>
  <w:num w:numId="25">
    <w:abstractNumId w:val="14"/>
  </w:num>
  <w:num w:numId="26">
    <w:abstractNumId w:val="11"/>
  </w:num>
  <w:num w:numId="27">
    <w:abstractNumId w:val="3"/>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097"/>
    <w:rsid w:val="003F1D6C"/>
    <w:rsid w:val="00A61097"/>
    <w:rsid w:val="00B13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2">
    <w:name w:val="heading 2"/>
    <w:basedOn w:val="Normal"/>
    <w:link w:val="Heading2Char"/>
    <w:uiPriority w:val="9"/>
    <w:qFormat/>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pPr>
      <w:spacing w:before="100" w:beforeAutospacing="1" w:after="100" w:afterAutospacing="1"/>
    </w:pPr>
    <w:rPr>
      <w:lang w:val="en-US" w:eastAsia="en-US"/>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VN" w:eastAsia="vi-VN"/>
    </w:rPr>
  </w:style>
  <w:style w:type="character" w:customStyle="1" w:styleId="fontstyle01">
    <w:name w:val="fontstyle01"/>
    <w:basedOn w:val="DefaultParagraphFont"/>
    <w:rPr>
      <w:rFonts w:ascii="Times-Roman" w:hAnsi="Times-Roman" w:hint="default"/>
      <w:b w:val="0"/>
      <w:bCs w:val="0"/>
      <w:i w:val="0"/>
      <w:iCs w:val="0"/>
      <w:color w:val="000000"/>
      <w:sz w:val="30"/>
      <w:szCs w:val="30"/>
    </w:rPr>
  </w:style>
  <w:style w:type="paragraph" w:customStyle="1" w:styleId="Char4">
    <w:name w:val="Char4"/>
    <w:basedOn w:val="Normal"/>
    <w:semiHidden/>
    <w:pPr>
      <w:spacing w:after="160" w:line="240" w:lineRule="exact"/>
    </w:pPr>
    <w:rPr>
      <w:rFonts w:ascii="Arial" w:hAnsi="Arial" w:cs="Arial"/>
      <w:sz w:val="22"/>
      <w:szCs w:val="22"/>
      <w:lang w:val="en-US" w:eastAsia="en-US"/>
    </w:r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character" w:customStyle="1" w:styleId="whitespace-normal">
    <w:name w:val="whitespace-normal"/>
    <w:basedOn w:val="DefaultParagraphFont"/>
  </w:style>
  <w:style w:type="character" w:customStyle="1" w:styleId="NormalWebChar">
    <w:name w:val="Normal (Web) Char"/>
    <w:link w:val="NormalWeb"/>
    <w:uiPriority w:val="99"/>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val="vi-VN" w:eastAsia="vi-VN"/>
    </w:rPr>
  </w:style>
  <w:style w:type="character" w:styleId="FootnoteReference">
    <w:name w:val="footnote reference"/>
    <w:basedOn w:val="DefaultParagraphFont"/>
    <w:uiPriority w:val="99"/>
    <w:semiHidden/>
    <w:unhideWhenUsed/>
    <w:rPr>
      <w:vertAlign w:val="superscript"/>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table" w:styleId="TableGrid">
    <w:name w:val="Table Grid"/>
    <w:basedOn w:val="TableNormal"/>
    <w:uiPriority w:val="39"/>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isselectedend">
    <w:name w:val="isselectedend"/>
    <w:basedOn w:val="Normal"/>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Times New Roman" w:eastAsia="Times New Roman" w:hAnsi="Times New Roman" w:cs="Times New Roman"/>
      <w:sz w:val="24"/>
      <w:szCs w:val="24"/>
      <w:lang w:val="vi-VN" w:eastAsia="vi-VN"/>
    </w:rPr>
  </w:style>
  <w:style w:type="paragraph" w:styleId="Heading2">
    <w:name w:val="heading 2"/>
    <w:basedOn w:val="Normal"/>
    <w:link w:val="Heading2Char"/>
    <w:uiPriority w:val="9"/>
    <w:qFormat/>
    <w:pPr>
      <w:spacing w:before="100" w:beforeAutospacing="1" w:after="100" w:afterAutospacing="1"/>
      <w:outlineLvl w:val="1"/>
    </w:pPr>
    <w:rPr>
      <w:b/>
      <w:bCs/>
      <w:sz w:val="36"/>
      <w:szCs w:val="36"/>
      <w:lang w:val="en-US" w:eastAsia="en-US"/>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pPr>
      <w:spacing w:before="100" w:beforeAutospacing="1" w:after="100" w:afterAutospacing="1"/>
    </w:pPr>
    <w:rPr>
      <w:lang w:val="en-US" w:eastAsia="en-US"/>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vi-VN" w:eastAsia="vi-VN"/>
    </w:rPr>
  </w:style>
  <w:style w:type="character" w:customStyle="1" w:styleId="fontstyle01">
    <w:name w:val="fontstyle01"/>
    <w:basedOn w:val="DefaultParagraphFont"/>
    <w:rPr>
      <w:rFonts w:ascii="Times-Roman" w:hAnsi="Times-Roman" w:hint="default"/>
      <w:b w:val="0"/>
      <w:bCs w:val="0"/>
      <w:i w:val="0"/>
      <w:iCs w:val="0"/>
      <w:color w:val="000000"/>
      <w:sz w:val="30"/>
      <w:szCs w:val="30"/>
    </w:rPr>
  </w:style>
  <w:style w:type="paragraph" w:customStyle="1" w:styleId="Char4">
    <w:name w:val="Char4"/>
    <w:basedOn w:val="Normal"/>
    <w:semiHidden/>
    <w:pPr>
      <w:spacing w:after="160" w:line="240" w:lineRule="exact"/>
    </w:pPr>
    <w:rPr>
      <w:rFonts w:ascii="Arial" w:hAnsi="Arial" w:cs="Arial"/>
      <w:sz w:val="22"/>
      <w:szCs w:val="22"/>
      <w:lang w:val="en-US" w:eastAsia="en-US"/>
    </w:rPr>
  </w:style>
  <w:style w:type="character" w:styleId="Hyperlink">
    <w:name w:val="Hyperlink"/>
    <w:basedOn w:val="DefaultParagraphFont"/>
    <w:uiPriority w:val="99"/>
    <w:semiHidden/>
    <w:unhideWhenUsed/>
    <w:rPr>
      <w:color w:val="0000FF"/>
      <w:u w:val="single"/>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vi-VN" w:eastAsia="vi-VN"/>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vi-VN" w:eastAsia="vi-VN"/>
    </w:rPr>
  </w:style>
  <w:style w:type="character" w:customStyle="1" w:styleId="whitespace-normal">
    <w:name w:val="whitespace-normal"/>
    <w:basedOn w:val="DefaultParagraphFont"/>
  </w:style>
  <w:style w:type="character" w:customStyle="1" w:styleId="NormalWebChar">
    <w:name w:val="Normal (Web) Char"/>
    <w:link w:val="NormalWeb"/>
    <w:uiPriority w:val="99"/>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eastAsia="Times New Roman" w:hAnsi="Times New Roman" w:cs="Times New Roman"/>
      <w:sz w:val="20"/>
      <w:szCs w:val="20"/>
      <w:lang w:val="vi-VN" w:eastAsia="vi-VN"/>
    </w:rPr>
  </w:style>
  <w:style w:type="character" w:styleId="FootnoteReference">
    <w:name w:val="footnote reference"/>
    <w:basedOn w:val="DefaultParagraphFont"/>
    <w:uiPriority w:val="99"/>
    <w:semiHidden/>
    <w:unhideWhenUsed/>
    <w:rPr>
      <w:vertAlign w:val="superscript"/>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table" w:styleId="TableGrid">
    <w:name w:val="Table Grid"/>
    <w:basedOn w:val="TableNormal"/>
    <w:uiPriority w:val="39"/>
    <w:pPr>
      <w:spacing w:after="0" w:line="240" w:lineRule="auto"/>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isselectedend">
    <w:name w:val="isselectedend"/>
    <w:basedOn w:val="Normal"/>
    <w:pPr>
      <w:spacing w:before="100" w:beforeAutospacing="1" w:after="100" w:afterAutospacing="1"/>
    </w:pPr>
    <w:rPr>
      <w:lang w:val="en-US" w:eastAsia="en-US"/>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20907">
      <w:bodyDiv w:val="1"/>
      <w:marLeft w:val="0"/>
      <w:marRight w:val="0"/>
      <w:marTop w:val="0"/>
      <w:marBottom w:val="0"/>
      <w:divBdr>
        <w:top w:val="none" w:sz="0" w:space="0" w:color="auto"/>
        <w:left w:val="none" w:sz="0" w:space="0" w:color="auto"/>
        <w:bottom w:val="none" w:sz="0" w:space="0" w:color="auto"/>
        <w:right w:val="none" w:sz="0" w:space="0" w:color="auto"/>
      </w:divBdr>
    </w:div>
    <w:div w:id="57440744">
      <w:bodyDiv w:val="1"/>
      <w:marLeft w:val="0"/>
      <w:marRight w:val="0"/>
      <w:marTop w:val="0"/>
      <w:marBottom w:val="0"/>
      <w:divBdr>
        <w:top w:val="none" w:sz="0" w:space="0" w:color="auto"/>
        <w:left w:val="none" w:sz="0" w:space="0" w:color="auto"/>
        <w:bottom w:val="none" w:sz="0" w:space="0" w:color="auto"/>
        <w:right w:val="none" w:sz="0" w:space="0" w:color="auto"/>
      </w:divBdr>
    </w:div>
    <w:div w:id="62486274">
      <w:bodyDiv w:val="1"/>
      <w:marLeft w:val="0"/>
      <w:marRight w:val="0"/>
      <w:marTop w:val="0"/>
      <w:marBottom w:val="0"/>
      <w:divBdr>
        <w:top w:val="none" w:sz="0" w:space="0" w:color="auto"/>
        <w:left w:val="none" w:sz="0" w:space="0" w:color="auto"/>
        <w:bottom w:val="none" w:sz="0" w:space="0" w:color="auto"/>
        <w:right w:val="none" w:sz="0" w:space="0" w:color="auto"/>
      </w:divBdr>
    </w:div>
    <w:div w:id="103236431">
      <w:bodyDiv w:val="1"/>
      <w:marLeft w:val="0"/>
      <w:marRight w:val="0"/>
      <w:marTop w:val="0"/>
      <w:marBottom w:val="0"/>
      <w:divBdr>
        <w:top w:val="none" w:sz="0" w:space="0" w:color="auto"/>
        <w:left w:val="none" w:sz="0" w:space="0" w:color="auto"/>
        <w:bottom w:val="none" w:sz="0" w:space="0" w:color="auto"/>
        <w:right w:val="none" w:sz="0" w:space="0" w:color="auto"/>
      </w:divBdr>
    </w:div>
    <w:div w:id="123230524">
      <w:bodyDiv w:val="1"/>
      <w:marLeft w:val="0"/>
      <w:marRight w:val="0"/>
      <w:marTop w:val="0"/>
      <w:marBottom w:val="0"/>
      <w:divBdr>
        <w:top w:val="none" w:sz="0" w:space="0" w:color="auto"/>
        <w:left w:val="none" w:sz="0" w:space="0" w:color="auto"/>
        <w:bottom w:val="none" w:sz="0" w:space="0" w:color="auto"/>
        <w:right w:val="none" w:sz="0" w:space="0" w:color="auto"/>
      </w:divBdr>
    </w:div>
    <w:div w:id="330717639">
      <w:bodyDiv w:val="1"/>
      <w:marLeft w:val="0"/>
      <w:marRight w:val="0"/>
      <w:marTop w:val="0"/>
      <w:marBottom w:val="0"/>
      <w:divBdr>
        <w:top w:val="none" w:sz="0" w:space="0" w:color="auto"/>
        <w:left w:val="none" w:sz="0" w:space="0" w:color="auto"/>
        <w:bottom w:val="none" w:sz="0" w:space="0" w:color="auto"/>
        <w:right w:val="none" w:sz="0" w:space="0" w:color="auto"/>
      </w:divBdr>
    </w:div>
    <w:div w:id="362949017">
      <w:bodyDiv w:val="1"/>
      <w:marLeft w:val="0"/>
      <w:marRight w:val="0"/>
      <w:marTop w:val="0"/>
      <w:marBottom w:val="0"/>
      <w:divBdr>
        <w:top w:val="none" w:sz="0" w:space="0" w:color="auto"/>
        <w:left w:val="none" w:sz="0" w:space="0" w:color="auto"/>
        <w:bottom w:val="none" w:sz="0" w:space="0" w:color="auto"/>
        <w:right w:val="none" w:sz="0" w:space="0" w:color="auto"/>
      </w:divBdr>
    </w:div>
    <w:div w:id="491021069">
      <w:bodyDiv w:val="1"/>
      <w:marLeft w:val="0"/>
      <w:marRight w:val="0"/>
      <w:marTop w:val="0"/>
      <w:marBottom w:val="0"/>
      <w:divBdr>
        <w:top w:val="none" w:sz="0" w:space="0" w:color="auto"/>
        <w:left w:val="none" w:sz="0" w:space="0" w:color="auto"/>
        <w:bottom w:val="none" w:sz="0" w:space="0" w:color="auto"/>
        <w:right w:val="none" w:sz="0" w:space="0" w:color="auto"/>
      </w:divBdr>
    </w:div>
    <w:div w:id="504175550">
      <w:bodyDiv w:val="1"/>
      <w:marLeft w:val="0"/>
      <w:marRight w:val="0"/>
      <w:marTop w:val="0"/>
      <w:marBottom w:val="0"/>
      <w:divBdr>
        <w:top w:val="none" w:sz="0" w:space="0" w:color="auto"/>
        <w:left w:val="none" w:sz="0" w:space="0" w:color="auto"/>
        <w:bottom w:val="none" w:sz="0" w:space="0" w:color="auto"/>
        <w:right w:val="none" w:sz="0" w:space="0" w:color="auto"/>
      </w:divBdr>
    </w:div>
    <w:div w:id="640959648">
      <w:bodyDiv w:val="1"/>
      <w:marLeft w:val="0"/>
      <w:marRight w:val="0"/>
      <w:marTop w:val="0"/>
      <w:marBottom w:val="0"/>
      <w:divBdr>
        <w:top w:val="none" w:sz="0" w:space="0" w:color="auto"/>
        <w:left w:val="none" w:sz="0" w:space="0" w:color="auto"/>
        <w:bottom w:val="none" w:sz="0" w:space="0" w:color="auto"/>
        <w:right w:val="none" w:sz="0" w:space="0" w:color="auto"/>
      </w:divBdr>
    </w:div>
    <w:div w:id="840004498">
      <w:bodyDiv w:val="1"/>
      <w:marLeft w:val="0"/>
      <w:marRight w:val="0"/>
      <w:marTop w:val="0"/>
      <w:marBottom w:val="0"/>
      <w:divBdr>
        <w:top w:val="none" w:sz="0" w:space="0" w:color="auto"/>
        <w:left w:val="none" w:sz="0" w:space="0" w:color="auto"/>
        <w:bottom w:val="none" w:sz="0" w:space="0" w:color="auto"/>
        <w:right w:val="none" w:sz="0" w:space="0" w:color="auto"/>
      </w:divBdr>
    </w:div>
    <w:div w:id="882135300">
      <w:bodyDiv w:val="1"/>
      <w:marLeft w:val="0"/>
      <w:marRight w:val="0"/>
      <w:marTop w:val="0"/>
      <w:marBottom w:val="0"/>
      <w:divBdr>
        <w:top w:val="none" w:sz="0" w:space="0" w:color="auto"/>
        <w:left w:val="none" w:sz="0" w:space="0" w:color="auto"/>
        <w:bottom w:val="none" w:sz="0" w:space="0" w:color="auto"/>
        <w:right w:val="none" w:sz="0" w:space="0" w:color="auto"/>
      </w:divBdr>
    </w:div>
    <w:div w:id="1171988315">
      <w:bodyDiv w:val="1"/>
      <w:marLeft w:val="0"/>
      <w:marRight w:val="0"/>
      <w:marTop w:val="0"/>
      <w:marBottom w:val="0"/>
      <w:divBdr>
        <w:top w:val="none" w:sz="0" w:space="0" w:color="auto"/>
        <w:left w:val="none" w:sz="0" w:space="0" w:color="auto"/>
        <w:bottom w:val="none" w:sz="0" w:space="0" w:color="auto"/>
        <w:right w:val="none" w:sz="0" w:space="0" w:color="auto"/>
      </w:divBdr>
      <w:divsChild>
        <w:div w:id="20592333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9574692">
      <w:bodyDiv w:val="1"/>
      <w:marLeft w:val="0"/>
      <w:marRight w:val="0"/>
      <w:marTop w:val="0"/>
      <w:marBottom w:val="0"/>
      <w:divBdr>
        <w:top w:val="none" w:sz="0" w:space="0" w:color="auto"/>
        <w:left w:val="none" w:sz="0" w:space="0" w:color="auto"/>
        <w:bottom w:val="none" w:sz="0" w:space="0" w:color="auto"/>
        <w:right w:val="none" w:sz="0" w:space="0" w:color="auto"/>
      </w:divBdr>
    </w:div>
    <w:div w:id="1428230647">
      <w:bodyDiv w:val="1"/>
      <w:marLeft w:val="0"/>
      <w:marRight w:val="0"/>
      <w:marTop w:val="0"/>
      <w:marBottom w:val="0"/>
      <w:divBdr>
        <w:top w:val="none" w:sz="0" w:space="0" w:color="auto"/>
        <w:left w:val="none" w:sz="0" w:space="0" w:color="auto"/>
        <w:bottom w:val="none" w:sz="0" w:space="0" w:color="auto"/>
        <w:right w:val="none" w:sz="0" w:space="0" w:color="auto"/>
      </w:divBdr>
    </w:div>
    <w:div w:id="1454134944">
      <w:bodyDiv w:val="1"/>
      <w:marLeft w:val="0"/>
      <w:marRight w:val="0"/>
      <w:marTop w:val="0"/>
      <w:marBottom w:val="0"/>
      <w:divBdr>
        <w:top w:val="none" w:sz="0" w:space="0" w:color="auto"/>
        <w:left w:val="none" w:sz="0" w:space="0" w:color="auto"/>
        <w:bottom w:val="none" w:sz="0" w:space="0" w:color="auto"/>
        <w:right w:val="none" w:sz="0" w:space="0" w:color="auto"/>
      </w:divBdr>
    </w:div>
    <w:div w:id="1574781201">
      <w:bodyDiv w:val="1"/>
      <w:marLeft w:val="0"/>
      <w:marRight w:val="0"/>
      <w:marTop w:val="0"/>
      <w:marBottom w:val="0"/>
      <w:divBdr>
        <w:top w:val="none" w:sz="0" w:space="0" w:color="auto"/>
        <w:left w:val="none" w:sz="0" w:space="0" w:color="auto"/>
        <w:bottom w:val="none" w:sz="0" w:space="0" w:color="auto"/>
        <w:right w:val="none" w:sz="0" w:space="0" w:color="auto"/>
      </w:divBdr>
    </w:div>
    <w:div w:id="1639142086">
      <w:bodyDiv w:val="1"/>
      <w:marLeft w:val="0"/>
      <w:marRight w:val="0"/>
      <w:marTop w:val="0"/>
      <w:marBottom w:val="0"/>
      <w:divBdr>
        <w:top w:val="none" w:sz="0" w:space="0" w:color="auto"/>
        <w:left w:val="none" w:sz="0" w:space="0" w:color="auto"/>
        <w:bottom w:val="none" w:sz="0" w:space="0" w:color="auto"/>
        <w:right w:val="none" w:sz="0" w:space="0" w:color="auto"/>
      </w:divBdr>
    </w:div>
    <w:div w:id="1869948622">
      <w:bodyDiv w:val="1"/>
      <w:marLeft w:val="0"/>
      <w:marRight w:val="0"/>
      <w:marTop w:val="0"/>
      <w:marBottom w:val="0"/>
      <w:divBdr>
        <w:top w:val="none" w:sz="0" w:space="0" w:color="auto"/>
        <w:left w:val="none" w:sz="0" w:space="0" w:color="auto"/>
        <w:bottom w:val="none" w:sz="0" w:space="0" w:color="auto"/>
        <w:right w:val="none" w:sz="0" w:space="0" w:color="auto"/>
      </w:divBdr>
    </w:div>
    <w:div w:id="204656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91502-71E1-4E36-B872-A3E1FFA52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2332</Words>
  <Characters>13299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WELCOME</dc:creator>
  <cp:lastModifiedBy>Acer</cp:lastModifiedBy>
  <cp:revision>2</cp:revision>
  <cp:lastPrinted>2026-06-02T01:23:00Z</cp:lastPrinted>
  <dcterms:created xsi:type="dcterms:W3CDTF">2026-08-04T01:53:00Z</dcterms:created>
  <dcterms:modified xsi:type="dcterms:W3CDTF">2026-08-04T01:53:00Z</dcterms:modified>
</cp:coreProperties>
</file>