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tblBorders>
          <w:insideH w:val="single" w:sz="4" w:space="0" w:color="auto"/>
        </w:tblBorders>
        <w:tblLook w:val="01E0" w:firstRow="1" w:lastRow="1" w:firstColumn="1" w:lastColumn="1" w:noHBand="0" w:noVBand="0"/>
      </w:tblPr>
      <w:tblGrid>
        <w:gridCol w:w="3708"/>
        <w:gridCol w:w="6120"/>
      </w:tblGrid>
      <w:tr w:rsidR="00876277">
        <w:trPr>
          <w:trHeight w:val="1258"/>
        </w:trPr>
        <w:tc>
          <w:tcPr>
            <w:tcW w:w="3708" w:type="dxa"/>
          </w:tcPr>
          <w:p w:rsidR="00876277" w:rsidRDefault="00BB0D14">
            <w:pPr>
              <w:jc w:val="center"/>
              <w:rPr>
                <w:rFonts w:ascii="Times New Roman" w:hAnsi="Times New Roman"/>
                <w:color w:val="000000" w:themeColor="text1"/>
                <w:sz w:val="26"/>
                <w:szCs w:val="26"/>
              </w:rPr>
            </w:pPr>
            <w:bookmarkStart w:id="0" w:name="_GoBack"/>
            <w:bookmarkEnd w:id="0"/>
            <w:r>
              <w:rPr>
                <w:rFonts w:ascii="Times New Roman" w:hAnsi="Times New Roman"/>
                <w:color w:val="000000" w:themeColor="text1"/>
                <w:sz w:val="26"/>
                <w:szCs w:val="26"/>
              </w:rPr>
              <w:t>UBND TỈNH THANH HOÁ</w:t>
            </w:r>
          </w:p>
          <w:p w:rsidR="00876277" w:rsidRDefault="00BB0D14">
            <w:pPr>
              <w:jc w:val="center"/>
              <w:rPr>
                <w:rFonts w:ascii="Times New Roman" w:hAnsi="Times New Roman"/>
                <w:color w:val="000000" w:themeColor="text1"/>
                <w:sz w:val="28"/>
                <w:szCs w:val="26"/>
              </w:rPr>
            </w:pPr>
            <w:r>
              <w:rPr>
                <w:rFonts w:ascii="Times New Roman" w:hAnsi="Times New Roman"/>
                <w:b/>
                <w:bCs/>
                <w:color w:val="000000" w:themeColor="text1"/>
                <w:sz w:val="28"/>
                <w:szCs w:val="26"/>
              </w:rPr>
              <w:t>SỞ CÔNG THƯƠNG</w:t>
            </w:r>
          </w:p>
          <w:p w:rsidR="00876277" w:rsidRDefault="00BB0D14">
            <w:pPr>
              <w:spacing w:before="120" w:after="120"/>
              <w:rPr>
                <w:rFonts w:ascii="Times New Roman" w:hAnsi="Times New Roman"/>
                <w:color w:val="000000" w:themeColor="text1"/>
                <w:sz w:val="32"/>
                <w:szCs w:val="28"/>
              </w:rPr>
            </w:pPr>
            <w:r>
              <w:rPr>
                <w:rFonts w:ascii="Times New Roman" w:hAnsi="Times New Roman"/>
                <w:noProof/>
                <w:color w:val="000000" w:themeColor="text1"/>
                <w:sz w:val="32"/>
                <w:szCs w:val="28"/>
              </w:rPr>
              <mc:AlternateContent>
                <mc:Choice Requires="wps">
                  <w:drawing>
                    <wp:anchor distT="0" distB="0" distL="114300" distR="114300" simplePos="0" relativeHeight="251657216" behindDoc="0" locked="0" layoutInCell="1" allowOverlap="1">
                      <wp:simplePos x="0" y="0"/>
                      <wp:positionH relativeFrom="column">
                        <wp:posOffset>760095</wp:posOffset>
                      </wp:positionH>
                      <wp:positionV relativeFrom="paragraph">
                        <wp:posOffset>0</wp:posOffset>
                      </wp:positionV>
                      <wp:extent cx="457200" cy="0"/>
                      <wp:effectExtent l="11430" t="5715" r="7620" b="13335"/>
                      <wp:wrapNone/>
                      <wp:docPr id="109887310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0" to="95.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BNGQIAADE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"/>
                  </w:pict>
                </mc:Fallback>
              </mc:AlternateContent>
            </w:r>
            <w:r>
              <w:rPr>
                <w:rFonts w:ascii="Times New Roman" w:hAnsi="Times New Roman"/>
                <w:color w:val="000000" w:themeColor="text1"/>
                <w:sz w:val="32"/>
                <w:szCs w:val="28"/>
              </w:rPr>
              <w:t xml:space="preserve">        </w:t>
            </w:r>
            <w:r>
              <w:rPr>
                <w:rFonts w:ascii="Times New Roman" w:hAnsi="Times New Roman"/>
                <w:color w:val="000000" w:themeColor="text1"/>
                <w:sz w:val="28"/>
              </w:rPr>
              <w:t>Số:           /TTr-SCT</w:t>
            </w:r>
          </w:p>
        </w:tc>
        <w:tc>
          <w:tcPr>
            <w:tcW w:w="6120" w:type="dxa"/>
          </w:tcPr>
          <w:p w:rsidR="00876277" w:rsidRDefault="00BB0D14">
            <w:pPr>
              <w:rPr>
                <w:rFonts w:ascii="Times New Roman" w:hAnsi="Times New Roman"/>
                <w:b/>
                <w:color w:val="000000" w:themeColor="text1"/>
                <w:sz w:val="26"/>
                <w:szCs w:val="26"/>
              </w:rPr>
            </w:pPr>
            <w:r>
              <w:rPr>
                <w:rFonts w:ascii="Times New Roman" w:hAnsi="Times New Roman"/>
                <w:b/>
                <w:color w:val="000000" w:themeColor="text1"/>
                <w:sz w:val="26"/>
                <w:szCs w:val="26"/>
              </w:rPr>
              <w:t xml:space="preserve">CỘNG HOÀ XÃ HỘI CHỦ NGHĨA VIỆT </w:t>
            </w:r>
            <w:smartTag w:uri="urn:schemas-microsoft-com:office:smarttags" w:element="place">
              <w:smartTag w:uri="urn:schemas-microsoft-com:office:smarttags" w:element="country-region">
                <w:r>
                  <w:rPr>
                    <w:rFonts w:ascii="Times New Roman" w:hAnsi="Times New Roman"/>
                    <w:b/>
                    <w:color w:val="000000" w:themeColor="text1"/>
                    <w:sz w:val="26"/>
                    <w:szCs w:val="26"/>
                  </w:rPr>
                  <w:t>NAM</w:t>
                </w:r>
              </w:smartTag>
            </w:smartTag>
          </w:p>
          <w:p w:rsidR="00876277" w:rsidRDefault="00BB0D14">
            <w:pPr>
              <w:jc w:val="center"/>
              <w:rPr>
                <w:rFonts w:ascii="Times New Roman" w:hAnsi="Times New Roman"/>
                <w:color w:val="000000" w:themeColor="text1"/>
                <w:sz w:val="26"/>
                <w:szCs w:val="26"/>
              </w:rPr>
            </w:pPr>
            <w:r>
              <w:rPr>
                <w:rFonts w:ascii="Times New Roman" w:hAnsi="Times New Roman"/>
                <w:b/>
                <w:bCs/>
                <w:color w:val="000000" w:themeColor="text1"/>
                <w:sz w:val="28"/>
                <w:szCs w:val="28"/>
              </w:rPr>
              <w:t>Độc lập – Tự do – Hạnh phúc</w:t>
            </w:r>
          </w:p>
          <w:p w:rsidR="00876277" w:rsidRDefault="00BB0D14">
            <w:pPr>
              <w:spacing w:before="120"/>
              <w:rPr>
                <w:rFonts w:ascii="Times New Roman" w:hAnsi="Times New Roman"/>
                <w:color w:val="000000" w:themeColor="text1"/>
                <w:sz w:val="26"/>
                <w:szCs w:val="26"/>
              </w:rPr>
            </w:pPr>
            <w:r>
              <w:rPr>
                <w:rFonts w:ascii="Times New Roman" w:hAnsi="Times New Roman"/>
                <w:noProof/>
                <w:color w:val="000000" w:themeColor="text1"/>
                <w:sz w:val="28"/>
                <w:szCs w:val="28"/>
              </w:rPr>
              <mc:AlternateContent>
                <mc:Choice Requires="wps">
                  <w:drawing>
                    <wp:anchor distT="0" distB="0" distL="114300" distR="114300" simplePos="0" relativeHeight="251656192" behindDoc="0" locked="0" layoutInCell="1" allowOverlap="1">
                      <wp:simplePos x="0" y="0"/>
                      <wp:positionH relativeFrom="column">
                        <wp:posOffset>716280</wp:posOffset>
                      </wp:positionH>
                      <wp:positionV relativeFrom="paragraph">
                        <wp:posOffset>20955</wp:posOffset>
                      </wp:positionV>
                      <wp:extent cx="2286000" cy="0"/>
                      <wp:effectExtent l="7620" t="7620" r="11430" b="11430"/>
                      <wp:wrapNone/>
                      <wp:docPr id="108788500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94093F5"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4pt,1.65pt" to="236.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"/>
                  </w:pict>
                </mc:Fallback>
              </mc:AlternateContent>
            </w:r>
            <w:r>
              <w:rPr>
                <w:rFonts w:ascii="Times New Roman" w:hAnsi="Times New Roman"/>
                <w:i/>
                <w:iCs/>
                <w:color w:val="000000" w:themeColor="text1"/>
                <w:sz w:val="26"/>
                <w:szCs w:val="26"/>
              </w:rPr>
              <w:t xml:space="preserve">              </w:t>
            </w:r>
            <w:r>
              <w:rPr>
                <w:rFonts w:ascii="Times New Roman" w:hAnsi="Times New Roman"/>
                <w:i/>
                <w:iCs/>
                <w:color w:val="000000" w:themeColor="text1"/>
                <w:sz w:val="28"/>
                <w:szCs w:val="26"/>
              </w:rPr>
              <w:t>Thanh Hoá, ngày       tháng 9 năm 2026</w:t>
            </w:r>
          </w:p>
        </w:tc>
      </w:tr>
    </w:tbl>
    <w:p w:rsidR="00876277" w:rsidRDefault="00BB0D14">
      <w:pPr>
        <w:rPr>
          <w:rFonts w:ascii="Times New Roman" w:hAnsi="Times New Roman"/>
          <w:color w:val="000000" w:themeColor="text1"/>
          <w:sz w:val="26"/>
          <w:szCs w:val="28"/>
        </w:rPr>
      </w:pPr>
      <w:r>
        <w:rPr>
          <w:rFonts w:ascii="Times New Roman" w:hAnsi="Times New Roman"/>
          <w:noProof/>
          <w:color w:val="000000" w:themeColor="text1"/>
          <w:sz w:val="26"/>
          <w:szCs w:val="28"/>
        </w:rPr>
        <mc:AlternateContent>
          <mc:Choice Requires="wps">
            <w:drawing>
              <wp:anchor distT="0" distB="0" distL="114300" distR="114300" simplePos="0" relativeHeight="251659264" behindDoc="0" locked="0" layoutInCell="1" allowOverlap="1">
                <wp:simplePos x="0" y="0"/>
                <wp:positionH relativeFrom="column">
                  <wp:posOffset>116205</wp:posOffset>
                </wp:positionH>
                <wp:positionV relativeFrom="paragraph">
                  <wp:posOffset>12700</wp:posOffset>
                </wp:positionV>
                <wp:extent cx="1114425" cy="314325"/>
                <wp:effectExtent l="0" t="0" r="28575" b="28575"/>
                <wp:wrapNone/>
                <wp:docPr id="108299509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14325"/>
                        </a:xfrm>
                        <a:prstGeom prst="rect">
                          <a:avLst/>
                        </a:prstGeom>
                        <a:solidFill>
                          <a:srgbClr val="FFFFFF"/>
                        </a:solidFill>
                        <a:ln w="9525">
                          <a:solidFill>
                            <a:srgbClr val="000000"/>
                          </a:solidFill>
                          <a:miter lim="800000"/>
                          <a:headEnd/>
                          <a:tailEnd/>
                        </a:ln>
                      </wps:spPr>
                      <wps:txbx>
                        <w:txbxContent>
                          <w:p w:rsidR="00876277" w:rsidRDefault="00BB0D14">
                            <w:pPr>
                              <w:jc w:val="center"/>
                              <w:rPr>
                                <w:rFonts w:ascii="Times New Roman" w:hAnsi="Times New Roman"/>
                                <w:b/>
                                <w:bCs/>
                                <w:sz w:val="26"/>
                                <w:szCs w:val="26"/>
                              </w:rPr>
                            </w:pPr>
                            <w:r>
                              <w:rPr>
                                <w:rFonts w:ascii="Times New Roman" w:hAnsi="Times New Roman"/>
                                <w:b/>
                                <w:bCs/>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9.15pt;margin-top:1pt;width:87.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">
                <v:textbox>
                  <w:txbxContent>
                    <w:p>
                      <w:pPr>
                        <w:jc w:val="center"/>
                        <w:rPr>
                          <w:rFonts w:ascii="Times New Roman" w:hAnsi="Times New Roman"/>
                          <w:b/>
                          <w:bCs/>
                          <w:sz w:val="26"/>
                          <w:szCs w:val="26"/>
                        </w:rPr>
                      </w:pPr>
                      <w:r>
                        <w:rPr>
                          <w:rFonts w:ascii="Times New Roman" w:hAnsi="Times New Roman"/>
                          <w:b/>
                          <w:bCs/>
                          <w:sz w:val="26"/>
                          <w:szCs w:val="26"/>
                        </w:rPr>
                        <w:t>DỰ THẢO</w:t>
                      </w:r>
                    </w:p>
                  </w:txbxContent>
                </v:textbox>
              </v:shape>
            </w:pict>
          </mc:Fallback>
        </mc:AlternateContent>
      </w:r>
      <w:r>
        <w:rPr>
          <w:rFonts w:ascii="Times New Roman" w:hAnsi="Times New Roman"/>
          <w:color w:val="000000" w:themeColor="text1"/>
          <w:sz w:val="26"/>
          <w:szCs w:val="28"/>
        </w:rPr>
        <w:t xml:space="preserve">                 </w:t>
      </w:r>
    </w:p>
    <w:p w:rsidR="00876277" w:rsidRDefault="00BB0D14">
      <w:pPr>
        <w:jc w:val="center"/>
        <w:rPr>
          <w:rFonts w:ascii="Times New Roman" w:hAnsi="Times New Roman"/>
          <w:b/>
          <w:color w:val="000000" w:themeColor="text1"/>
          <w:sz w:val="28"/>
          <w:szCs w:val="28"/>
        </w:rPr>
      </w:pPr>
      <w:r>
        <w:rPr>
          <w:rFonts w:ascii="Times New Roman" w:hAnsi="Times New Roman"/>
          <w:b/>
          <w:color w:val="000000" w:themeColor="text1"/>
          <w:sz w:val="28"/>
          <w:szCs w:val="28"/>
        </w:rPr>
        <w:t>TỜ TRÌNH</w:t>
      </w:r>
    </w:p>
    <w:p w:rsidR="00876277" w:rsidRDefault="00BB0D14">
      <w:pPr>
        <w:jc w:val="center"/>
        <w:rPr>
          <w:rFonts w:ascii="Times New Roman" w:eastAsia="Calibri" w:hAnsi="Times New Roman"/>
          <w:b/>
          <w:color w:val="000000" w:themeColor="text1"/>
          <w:kern w:val="2"/>
          <w:sz w:val="28"/>
          <w:szCs w:val="28"/>
          <w14:ligatures w14:val="standardContextual"/>
        </w:rPr>
      </w:pPr>
      <w:r>
        <w:rPr>
          <w:rFonts w:ascii="Times New Roman" w:hAnsi="Times New Roman"/>
          <w:b/>
          <w:color w:val="000000" w:themeColor="text1"/>
          <w:sz w:val="28"/>
          <w:szCs w:val="28"/>
        </w:rPr>
        <w:t xml:space="preserve">Về việc </w:t>
      </w:r>
      <w:r>
        <w:rPr>
          <w:rFonts w:ascii="Times New Roman" w:eastAsia="Calibri" w:hAnsi="Times New Roman"/>
          <w:b/>
          <w:color w:val="000000" w:themeColor="text1"/>
          <w:kern w:val="2"/>
          <w:sz w:val="28"/>
          <w:szCs w:val="28"/>
          <w14:ligatures w14:val="standardContextual"/>
        </w:rPr>
        <w:t>Ban hành nguyên t</w:t>
      </w:r>
      <w:r>
        <w:rPr>
          <w:rFonts w:ascii="Times New Roman" w:eastAsia="Calibri" w:hAnsi="Times New Roman"/>
          <w:b/>
          <w:color w:val="000000" w:themeColor="text1"/>
          <w:kern w:val="2"/>
          <w:sz w:val="28"/>
          <w:szCs w:val="28"/>
          <w14:ligatures w14:val="standardContextual"/>
        </w:rPr>
        <w:t>ắ</w:t>
      </w:r>
      <w:r>
        <w:rPr>
          <w:rFonts w:ascii="Times New Roman" w:eastAsia="Calibri" w:hAnsi="Times New Roman"/>
          <w:b/>
          <w:color w:val="000000" w:themeColor="text1"/>
          <w:kern w:val="2"/>
          <w:sz w:val="28"/>
          <w:szCs w:val="28"/>
          <w14:ligatures w14:val="standardContextual"/>
        </w:rPr>
        <w:t>c, tiêu chí, đ</w:t>
      </w:r>
      <w:r>
        <w:rPr>
          <w:rFonts w:ascii="Times New Roman" w:eastAsia="Calibri" w:hAnsi="Times New Roman"/>
          <w:b/>
          <w:color w:val="000000" w:themeColor="text1"/>
          <w:kern w:val="2"/>
          <w:sz w:val="28"/>
          <w:szCs w:val="28"/>
          <w14:ligatures w14:val="standardContextual"/>
        </w:rPr>
        <w:t>ị</w:t>
      </w:r>
      <w:r>
        <w:rPr>
          <w:rFonts w:ascii="Times New Roman" w:eastAsia="Calibri" w:hAnsi="Times New Roman"/>
          <w:b/>
          <w:color w:val="000000" w:themeColor="text1"/>
          <w:kern w:val="2"/>
          <w:sz w:val="28"/>
          <w:szCs w:val="28"/>
          <w14:ligatures w14:val="standardContextual"/>
        </w:rPr>
        <w:t>nh m</w:t>
      </w:r>
      <w:r>
        <w:rPr>
          <w:rFonts w:ascii="Times New Roman" w:eastAsia="Calibri" w:hAnsi="Times New Roman"/>
          <w:b/>
          <w:color w:val="000000" w:themeColor="text1"/>
          <w:kern w:val="2"/>
          <w:sz w:val="28"/>
          <w:szCs w:val="28"/>
          <w14:ligatures w14:val="standardContextual"/>
        </w:rPr>
        <w:t>ứ</w:t>
      </w:r>
      <w:r>
        <w:rPr>
          <w:rFonts w:ascii="Times New Roman" w:eastAsia="Calibri" w:hAnsi="Times New Roman"/>
          <w:b/>
          <w:color w:val="000000" w:themeColor="text1"/>
          <w:kern w:val="2"/>
          <w:sz w:val="28"/>
          <w:szCs w:val="28"/>
          <w14:ligatures w14:val="standardContextual"/>
        </w:rPr>
        <w:t>c, h</w:t>
      </w:r>
      <w:r>
        <w:rPr>
          <w:rFonts w:ascii="Times New Roman" w:eastAsia="Calibri" w:hAnsi="Times New Roman"/>
          <w:b/>
          <w:color w:val="000000" w:themeColor="text1"/>
          <w:kern w:val="2"/>
          <w:sz w:val="28"/>
          <w:szCs w:val="28"/>
          <w14:ligatures w14:val="standardContextual"/>
        </w:rPr>
        <w:t>ồ</w:t>
      </w:r>
      <w:r>
        <w:rPr>
          <w:rFonts w:ascii="Times New Roman" w:eastAsia="Calibri" w:hAnsi="Times New Roman"/>
          <w:b/>
          <w:color w:val="000000" w:themeColor="text1"/>
          <w:kern w:val="2"/>
          <w:sz w:val="28"/>
          <w:szCs w:val="28"/>
          <w14:ligatures w14:val="standardContextual"/>
        </w:rPr>
        <w:t xml:space="preserve"> sơ, trình t</w:t>
      </w:r>
      <w:r>
        <w:rPr>
          <w:rFonts w:ascii="Times New Roman" w:eastAsia="Calibri" w:hAnsi="Times New Roman"/>
          <w:b/>
          <w:color w:val="000000" w:themeColor="text1"/>
          <w:kern w:val="2"/>
          <w:sz w:val="28"/>
          <w:szCs w:val="28"/>
          <w14:ligatures w14:val="standardContextual"/>
        </w:rPr>
        <w:t>ự</w:t>
      </w:r>
      <w:r>
        <w:rPr>
          <w:rFonts w:ascii="Times New Roman" w:eastAsia="Calibri" w:hAnsi="Times New Roman"/>
          <w:b/>
          <w:color w:val="000000" w:themeColor="text1"/>
          <w:kern w:val="2"/>
          <w:sz w:val="28"/>
          <w:szCs w:val="28"/>
          <w14:ligatures w14:val="standardContextual"/>
        </w:rPr>
        <w:t>, th</w:t>
      </w:r>
      <w:r>
        <w:rPr>
          <w:rFonts w:ascii="Times New Roman" w:eastAsia="Calibri" w:hAnsi="Times New Roman"/>
          <w:b/>
          <w:color w:val="000000" w:themeColor="text1"/>
          <w:kern w:val="2"/>
          <w:sz w:val="28"/>
          <w:szCs w:val="28"/>
          <w14:ligatures w14:val="standardContextual"/>
        </w:rPr>
        <w:t>ủ</w:t>
      </w:r>
      <w:r>
        <w:rPr>
          <w:rFonts w:ascii="Times New Roman" w:eastAsia="Calibri" w:hAnsi="Times New Roman"/>
          <w:b/>
          <w:color w:val="000000" w:themeColor="text1"/>
          <w:kern w:val="2"/>
          <w:sz w:val="28"/>
          <w:szCs w:val="28"/>
          <w14:ligatures w14:val="standardContextual"/>
        </w:rPr>
        <w:t xml:space="preserve"> t</w:t>
      </w:r>
      <w:r>
        <w:rPr>
          <w:rFonts w:ascii="Times New Roman" w:eastAsia="Calibri" w:hAnsi="Times New Roman"/>
          <w:b/>
          <w:color w:val="000000" w:themeColor="text1"/>
          <w:kern w:val="2"/>
          <w:sz w:val="28"/>
          <w:szCs w:val="28"/>
          <w14:ligatures w14:val="standardContextual"/>
        </w:rPr>
        <w:t>ụ</w:t>
      </w:r>
      <w:r>
        <w:rPr>
          <w:rFonts w:ascii="Times New Roman" w:eastAsia="Calibri" w:hAnsi="Times New Roman"/>
          <w:b/>
          <w:color w:val="000000" w:themeColor="text1"/>
          <w:kern w:val="2"/>
          <w:sz w:val="28"/>
          <w:szCs w:val="28"/>
          <w14:ligatures w14:val="standardContextual"/>
        </w:rPr>
        <w:t>c th</w:t>
      </w:r>
      <w:r>
        <w:rPr>
          <w:rFonts w:ascii="Times New Roman" w:eastAsia="Calibri" w:hAnsi="Times New Roman"/>
          <w:b/>
          <w:color w:val="000000" w:themeColor="text1"/>
          <w:kern w:val="2"/>
          <w:sz w:val="28"/>
          <w:szCs w:val="28"/>
          <w14:ligatures w14:val="standardContextual"/>
        </w:rPr>
        <w:t>ự</w:t>
      </w:r>
      <w:r>
        <w:rPr>
          <w:rFonts w:ascii="Times New Roman" w:eastAsia="Calibri" w:hAnsi="Times New Roman"/>
          <w:b/>
          <w:color w:val="000000" w:themeColor="text1"/>
          <w:kern w:val="2"/>
          <w:sz w:val="28"/>
          <w:szCs w:val="28"/>
          <w14:ligatures w14:val="standardContextual"/>
        </w:rPr>
        <w:t>c hi</w:t>
      </w:r>
      <w:r>
        <w:rPr>
          <w:rFonts w:ascii="Times New Roman" w:eastAsia="Calibri" w:hAnsi="Times New Roman"/>
          <w:b/>
          <w:color w:val="000000" w:themeColor="text1"/>
          <w:kern w:val="2"/>
          <w:sz w:val="28"/>
          <w:szCs w:val="28"/>
          <w14:ligatures w14:val="standardContextual"/>
        </w:rPr>
        <w:t>ệ</w:t>
      </w:r>
      <w:r>
        <w:rPr>
          <w:rFonts w:ascii="Times New Roman" w:eastAsia="Calibri" w:hAnsi="Times New Roman"/>
          <w:b/>
          <w:color w:val="000000" w:themeColor="text1"/>
          <w:kern w:val="2"/>
          <w:sz w:val="28"/>
          <w:szCs w:val="28"/>
          <w14:ligatures w14:val="standardContextual"/>
        </w:rPr>
        <w:t>n chính sách h</w:t>
      </w:r>
      <w:r>
        <w:rPr>
          <w:rFonts w:ascii="Times New Roman" w:eastAsia="Calibri" w:hAnsi="Times New Roman"/>
          <w:b/>
          <w:color w:val="000000" w:themeColor="text1"/>
          <w:kern w:val="2"/>
          <w:sz w:val="28"/>
          <w:szCs w:val="28"/>
          <w14:ligatures w14:val="standardContextual"/>
        </w:rPr>
        <w:t>ỗ</w:t>
      </w:r>
      <w:r>
        <w:rPr>
          <w:rFonts w:ascii="Times New Roman" w:eastAsia="Calibri" w:hAnsi="Times New Roman"/>
          <w:b/>
          <w:color w:val="000000" w:themeColor="text1"/>
          <w:kern w:val="2"/>
          <w:sz w:val="28"/>
          <w:szCs w:val="28"/>
          <w14:ligatures w14:val="standardContextual"/>
        </w:rPr>
        <w:t xml:space="preserve"> tr</w:t>
      </w:r>
      <w:r>
        <w:rPr>
          <w:rFonts w:ascii="Times New Roman" w:eastAsia="Calibri" w:hAnsi="Times New Roman"/>
          <w:b/>
          <w:color w:val="000000" w:themeColor="text1"/>
          <w:kern w:val="2"/>
          <w:sz w:val="28"/>
          <w:szCs w:val="28"/>
          <w14:ligatures w14:val="standardContextual"/>
        </w:rPr>
        <w:t>ợ</w:t>
      </w:r>
      <w:r>
        <w:rPr>
          <w:rFonts w:ascii="Times New Roman" w:eastAsia="Calibri" w:hAnsi="Times New Roman"/>
          <w:b/>
          <w:color w:val="000000" w:themeColor="text1"/>
          <w:kern w:val="2"/>
          <w:sz w:val="28"/>
          <w:szCs w:val="28"/>
          <w14:ligatures w14:val="standardContextual"/>
        </w:rPr>
        <w:t xml:space="preserve"> ti</w:t>
      </w:r>
      <w:r>
        <w:rPr>
          <w:rFonts w:ascii="Times New Roman" w:eastAsia="Calibri" w:hAnsi="Times New Roman"/>
          <w:b/>
          <w:color w:val="000000" w:themeColor="text1"/>
          <w:kern w:val="2"/>
          <w:sz w:val="28"/>
          <w:szCs w:val="28"/>
          <w14:ligatures w14:val="standardContextual"/>
        </w:rPr>
        <w:t>ế</w:t>
      </w:r>
      <w:r>
        <w:rPr>
          <w:rFonts w:ascii="Times New Roman" w:eastAsia="Calibri" w:hAnsi="Times New Roman"/>
          <w:b/>
          <w:color w:val="000000" w:themeColor="text1"/>
          <w:kern w:val="2"/>
          <w:sz w:val="28"/>
          <w:szCs w:val="28"/>
          <w14:ligatures w14:val="standardContextual"/>
        </w:rPr>
        <w:t>p c</w:t>
      </w:r>
      <w:r>
        <w:rPr>
          <w:rFonts w:ascii="Times New Roman" w:eastAsia="Calibri" w:hAnsi="Times New Roman"/>
          <w:b/>
          <w:color w:val="000000" w:themeColor="text1"/>
          <w:kern w:val="2"/>
          <w:sz w:val="28"/>
          <w:szCs w:val="28"/>
          <w14:ligatures w14:val="standardContextual"/>
        </w:rPr>
        <w:t>ậ</w:t>
      </w:r>
      <w:r>
        <w:rPr>
          <w:rFonts w:ascii="Times New Roman" w:eastAsia="Calibri" w:hAnsi="Times New Roman"/>
          <w:b/>
          <w:color w:val="000000" w:themeColor="text1"/>
          <w:kern w:val="2"/>
          <w:sz w:val="28"/>
          <w:szCs w:val="28"/>
          <w14:ligatures w14:val="standardContextual"/>
        </w:rPr>
        <w:t>n đ</w:t>
      </w:r>
      <w:r>
        <w:rPr>
          <w:rFonts w:ascii="Times New Roman" w:eastAsia="Calibri" w:hAnsi="Times New Roman"/>
          <w:b/>
          <w:color w:val="000000" w:themeColor="text1"/>
          <w:kern w:val="2"/>
          <w:sz w:val="28"/>
          <w:szCs w:val="28"/>
          <w14:ligatures w14:val="standardContextual"/>
        </w:rPr>
        <w:t>ấ</w:t>
      </w:r>
      <w:r>
        <w:rPr>
          <w:rFonts w:ascii="Times New Roman" w:eastAsia="Calibri" w:hAnsi="Times New Roman"/>
          <w:b/>
          <w:color w:val="000000" w:themeColor="text1"/>
          <w:kern w:val="2"/>
          <w:sz w:val="28"/>
          <w:szCs w:val="28"/>
          <w14:ligatures w14:val="standardContextual"/>
        </w:rPr>
        <w:t>t đai, m</w:t>
      </w:r>
      <w:r>
        <w:rPr>
          <w:rFonts w:ascii="Times New Roman" w:eastAsia="Calibri" w:hAnsi="Times New Roman"/>
          <w:b/>
          <w:color w:val="000000" w:themeColor="text1"/>
          <w:kern w:val="2"/>
          <w:sz w:val="28"/>
          <w:szCs w:val="28"/>
          <w14:ligatures w14:val="standardContextual"/>
        </w:rPr>
        <w:t>ặ</w:t>
      </w:r>
      <w:r>
        <w:rPr>
          <w:rFonts w:ascii="Times New Roman" w:eastAsia="Calibri" w:hAnsi="Times New Roman"/>
          <w:b/>
          <w:color w:val="000000" w:themeColor="text1"/>
          <w:kern w:val="2"/>
          <w:sz w:val="28"/>
          <w:szCs w:val="28"/>
          <w14:ligatures w14:val="standardContextual"/>
        </w:rPr>
        <w:t>t b</w:t>
      </w:r>
      <w:r>
        <w:rPr>
          <w:rFonts w:ascii="Times New Roman" w:eastAsia="Calibri" w:hAnsi="Times New Roman"/>
          <w:b/>
          <w:color w:val="000000" w:themeColor="text1"/>
          <w:kern w:val="2"/>
          <w:sz w:val="28"/>
          <w:szCs w:val="28"/>
          <w14:ligatures w14:val="standardContextual"/>
        </w:rPr>
        <w:t>ằ</w:t>
      </w:r>
      <w:r>
        <w:rPr>
          <w:rFonts w:ascii="Times New Roman" w:eastAsia="Calibri" w:hAnsi="Times New Roman"/>
          <w:b/>
          <w:color w:val="000000" w:themeColor="text1"/>
          <w:kern w:val="2"/>
          <w:sz w:val="28"/>
          <w:szCs w:val="28"/>
          <w14:ligatures w14:val="standardContextual"/>
        </w:rPr>
        <w:t>ng s</w:t>
      </w:r>
      <w:r>
        <w:rPr>
          <w:rFonts w:ascii="Times New Roman" w:eastAsia="Calibri" w:hAnsi="Times New Roman"/>
          <w:b/>
          <w:color w:val="000000" w:themeColor="text1"/>
          <w:kern w:val="2"/>
          <w:sz w:val="28"/>
          <w:szCs w:val="28"/>
          <w14:ligatures w14:val="standardContextual"/>
        </w:rPr>
        <w:t>ả</w:t>
      </w:r>
      <w:r>
        <w:rPr>
          <w:rFonts w:ascii="Times New Roman" w:eastAsia="Calibri" w:hAnsi="Times New Roman"/>
          <w:b/>
          <w:color w:val="000000" w:themeColor="text1"/>
          <w:kern w:val="2"/>
          <w:sz w:val="28"/>
          <w:szCs w:val="28"/>
          <w14:ligatures w14:val="standardContextual"/>
        </w:rPr>
        <w:t>n xu</w:t>
      </w:r>
      <w:r>
        <w:rPr>
          <w:rFonts w:ascii="Times New Roman" w:eastAsia="Calibri" w:hAnsi="Times New Roman"/>
          <w:b/>
          <w:color w:val="000000" w:themeColor="text1"/>
          <w:kern w:val="2"/>
          <w:sz w:val="28"/>
          <w:szCs w:val="28"/>
          <w14:ligatures w14:val="standardContextual"/>
        </w:rPr>
        <w:t>ấ</w:t>
      </w:r>
      <w:r>
        <w:rPr>
          <w:rFonts w:ascii="Times New Roman" w:eastAsia="Calibri" w:hAnsi="Times New Roman"/>
          <w:b/>
          <w:color w:val="000000" w:themeColor="text1"/>
          <w:kern w:val="2"/>
          <w:sz w:val="28"/>
          <w:szCs w:val="28"/>
          <w14:ligatures w14:val="standardContextual"/>
        </w:rPr>
        <w:t>t kinh doanh trong các c</w:t>
      </w:r>
      <w:r>
        <w:rPr>
          <w:rFonts w:ascii="Times New Roman" w:eastAsia="Calibri" w:hAnsi="Times New Roman"/>
          <w:b/>
          <w:color w:val="000000" w:themeColor="text1"/>
          <w:kern w:val="2"/>
          <w:sz w:val="28"/>
          <w:szCs w:val="28"/>
          <w14:ligatures w14:val="standardContextual"/>
        </w:rPr>
        <w:t>ụ</w:t>
      </w:r>
      <w:r>
        <w:rPr>
          <w:rFonts w:ascii="Times New Roman" w:eastAsia="Calibri" w:hAnsi="Times New Roman"/>
          <w:b/>
          <w:color w:val="000000" w:themeColor="text1"/>
          <w:kern w:val="2"/>
          <w:sz w:val="28"/>
          <w:szCs w:val="28"/>
          <w14:ligatures w14:val="standardContextual"/>
        </w:rPr>
        <w:t>m công nghi</w:t>
      </w:r>
      <w:r>
        <w:rPr>
          <w:rFonts w:ascii="Times New Roman" w:eastAsia="Calibri" w:hAnsi="Times New Roman"/>
          <w:b/>
          <w:color w:val="000000" w:themeColor="text1"/>
          <w:kern w:val="2"/>
          <w:sz w:val="28"/>
          <w:szCs w:val="28"/>
          <w14:ligatures w14:val="standardContextual"/>
        </w:rPr>
        <w:t>ệ</w:t>
      </w:r>
      <w:r>
        <w:rPr>
          <w:rFonts w:ascii="Times New Roman" w:eastAsia="Calibri" w:hAnsi="Times New Roman"/>
          <w:b/>
          <w:color w:val="000000" w:themeColor="text1"/>
          <w:kern w:val="2"/>
          <w:sz w:val="28"/>
          <w:szCs w:val="28"/>
          <w14:ligatures w14:val="standardContextual"/>
        </w:rPr>
        <w:t>p trên đ</w:t>
      </w:r>
      <w:r>
        <w:rPr>
          <w:rFonts w:ascii="Times New Roman" w:eastAsia="Calibri" w:hAnsi="Times New Roman"/>
          <w:b/>
          <w:color w:val="000000" w:themeColor="text1"/>
          <w:kern w:val="2"/>
          <w:sz w:val="28"/>
          <w:szCs w:val="28"/>
          <w14:ligatures w14:val="standardContextual"/>
        </w:rPr>
        <w:t>ị</w:t>
      </w:r>
      <w:r>
        <w:rPr>
          <w:rFonts w:ascii="Times New Roman" w:eastAsia="Calibri" w:hAnsi="Times New Roman"/>
          <w:b/>
          <w:color w:val="000000" w:themeColor="text1"/>
          <w:kern w:val="2"/>
          <w:sz w:val="28"/>
          <w:szCs w:val="28"/>
          <w14:ligatures w14:val="standardContextual"/>
        </w:rPr>
        <w:t>a bàn t</w:t>
      </w:r>
      <w:r>
        <w:rPr>
          <w:rFonts w:ascii="Times New Roman" w:eastAsia="Calibri" w:hAnsi="Times New Roman"/>
          <w:b/>
          <w:color w:val="000000" w:themeColor="text1"/>
          <w:kern w:val="2"/>
          <w:sz w:val="28"/>
          <w:szCs w:val="28"/>
          <w14:ligatures w14:val="standardContextual"/>
        </w:rPr>
        <w:t>ỉ</w:t>
      </w:r>
      <w:r>
        <w:rPr>
          <w:rFonts w:ascii="Times New Roman" w:eastAsia="Calibri" w:hAnsi="Times New Roman"/>
          <w:b/>
          <w:color w:val="000000" w:themeColor="text1"/>
          <w:kern w:val="2"/>
          <w:sz w:val="28"/>
          <w:szCs w:val="28"/>
          <w14:ligatures w14:val="standardContextual"/>
        </w:rPr>
        <w:t>nh Thanh Hóa th</w:t>
      </w:r>
      <w:r>
        <w:rPr>
          <w:rFonts w:ascii="Times New Roman" w:eastAsia="Calibri" w:hAnsi="Times New Roman"/>
          <w:b/>
          <w:color w:val="000000" w:themeColor="text1"/>
          <w:kern w:val="2"/>
          <w:sz w:val="28"/>
          <w:szCs w:val="28"/>
          <w14:ligatures w14:val="standardContextual"/>
        </w:rPr>
        <w:t>ự</w:t>
      </w:r>
      <w:r>
        <w:rPr>
          <w:rFonts w:ascii="Times New Roman" w:eastAsia="Calibri" w:hAnsi="Times New Roman"/>
          <w:b/>
          <w:color w:val="000000" w:themeColor="text1"/>
          <w:kern w:val="2"/>
          <w:sz w:val="28"/>
          <w:szCs w:val="28"/>
          <w14:ligatures w14:val="standardContextual"/>
        </w:rPr>
        <w:t>c hi</w:t>
      </w:r>
      <w:r>
        <w:rPr>
          <w:rFonts w:ascii="Times New Roman" w:eastAsia="Calibri" w:hAnsi="Times New Roman"/>
          <w:b/>
          <w:color w:val="000000" w:themeColor="text1"/>
          <w:kern w:val="2"/>
          <w:sz w:val="28"/>
          <w:szCs w:val="28"/>
          <w14:ligatures w14:val="standardContextual"/>
        </w:rPr>
        <w:t>ệ</w:t>
      </w:r>
      <w:r>
        <w:rPr>
          <w:rFonts w:ascii="Times New Roman" w:eastAsia="Calibri" w:hAnsi="Times New Roman"/>
          <w:b/>
          <w:color w:val="000000" w:themeColor="text1"/>
          <w:kern w:val="2"/>
          <w:sz w:val="28"/>
          <w:szCs w:val="28"/>
          <w14:ligatures w14:val="standardContextual"/>
        </w:rPr>
        <w:t xml:space="preserve">n </w:t>
      </w:r>
      <w:r>
        <w:rPr>
          <w:rFonts w:ascii="Times New Roman" w:hAnsi="Times New Roman"/>
          <w:b/>
          <w:color w:val="000000" w:themeColor="text1"/>
          <w:sz w:val="28"/>
          <w:szCs w:val="28"/>
        </w:rPr>
        <w:t>Nghị quyết số 198/2025/QH15 ngày 17/5/2025 của Quốc</w:t>
      </w:r>
      <w:r>
        <w:rPr>
          <w:rFonts w:ascii="Times New Roman" w:hAnsi="Times New Roman"/>
          <w:b/>
          <w:color w:val="000000" w:themeColor="text1"/>
          <w:sz w:val="28"/>
          <w:szCs w:val="28"/>
        </w:rPr>
        <w:t xml:space="preserve"> hội về một số cơ chế, chính sách đặc biệt phát triển kinh tế tư nhân</w:t>
      </w:r>
    </w:p>
    <w:p w:rsidR="00876277" w:rsidRDefault="00BB0D14">
      <w:pPr>
        <w:pStyle w:val="Heading2"/>
        <w:keepNext w:val="0"/>
        <w:widowControl w:val="0"/>
        <w:spacing w:before="0" w:after="0"/>
        <w:jc w:val="center"/>
        <w:rPr>
          <w:rFonts w:ascii="Times New Roman" w:hAnsi="Times New Roman"/>
          <w:b w:val="0"/>
          <w:color w:val="000000" w:themeColor="text1"/>
          <w:sz w:val="29"/>
          <w:szCs w:val="27"/>
        </w:rPr>
      </w:pPr>
      <w:r>
        <w:rPr>
          <w:rFonts w:ascii="Times New Roman" w:eastAsia="Calibri" w:hAnsi="Times New Roman"/>
          <w:b w:val="0"/>
          <w:noProof/>
          <w:color w:val="000000" w:themeColor="text1"/>
          <w:kern w:val="2"/>
          <w14:ligatures w14:val="standardContextual"/>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ragraph">
                  <wp:posOffset>5715</wp:posOffset>
                </wp:positionV>
                <wp:extent cx="1295400" cy="0"/>
                <wp:effectExtent l="0" t="0" r="0" b="0"/>
                <wp:wrapNone/>
                <wp:docPr id="466314804" name="Straight Connector 1"/>
                <wp:cNvGraphicFramePr/>
                <a:graphic xmlns:a="http://schemas.openxmlformats.org/drawingml/2006/main">
                  <a:graphicData uri="http://schemas.microsoft.com/office/word/2010/wordprocessingShape">
                    <wps:wsp>
                      <wps:cNvCnPr/>
                      <wps:spPr>
                        <a:xfrm>
                          <a:off x="0" y="0"/>
                          <a:ext cx="12954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69B6EB6C" id="Straight Connector 1" o:spid="_x0000_s1026" style="position:absolute;z-index:251661312;visibility:visible;mso-wrap-style:square;mso-wrap-distance-left:9pt;mso-wrap-distance-top:0;mso-wrap-distance-right:9pt;mso-wrap-distance-bottom:0;mso-position-horizontal:center;mso-position-horizontal-relative:page;mso-position-vertical:absolute;mso-position-vertical-relative:text" from="0,.45pt" to="10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" strokecolor="windowText" strokeweight=".5pt">
                <v:stroke joinstyle="miter"/>
                <w10:wrap anchorx="page"/>
              </v:line>
            </w:pict>
          </mc:Fallback>
        </mc:AlternateContent>
      </w:r>
      <w:r>
        <w:rPr>
          <w:color w:val="000000" w:themeColor="text1"/>
          <w:sz w:val="29"/>
          <w:szCs w:val="27"/>
        </w:rPr>
        <w:t xml:space="preserve">  </w:t>
      </w:r>
    </w:p>
    <w:p w:rsidR="00876277" w:rsidRDefault="00BB0D14">
      <w:pPr>
        <w:spacing w:before="240" w:after="600"/>
        <w:jc w:val="center"/>
        <w:rPr>
          <w:rFonts w:ascii="Times New Roman" w:hAnsi="Times New Roman"/>
          <w:noProof/>
          <w:color w:val="000000" w:themeColor="text1"/>
          <w:sz w:val="28"/>
          <w:szCs w:val="28"/>
        </w:rPr>
      </w:pPr>
      <w:r>
        <w:rPr>
          <w:rFonts w:ascii="Times New Roman" w:hAnsi="Times New Roman"/>
          <w:noProof/>
          <w:color w:val="000000" w:themeColor="text1"/>
          <w:sz w:val="28"/>
          <w:szCs w:val="28"/>
        </w:rPr>
        <w:t>Kính gửi: UBND tỉnh Thanh Hóa</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Thực hiện quy định của pháp luật về ban hành văn bản quy phạm pháp luật; Căn cứ Luật Ngân sách nhà nước và các văn bản hướng dẫn thi hành; Luật Đất đai và các văn bản quy định chi tiết, hướng dẫn thi hành; Nghị quyết số 198/2025/QH15 ngày 17/5/2025 của Quố</w:t>
      </w:r>
      <w:r>
        <w:rPr>
          <w:rFonts w:ascii="Times New Roman" w:hAnsi="Times New Roman"/>
          <w:color w:val="000000" w:themeColor="text1"/>
          <w:sz w:val="28"/>
          <w:szCs w:val="28"/>
        </w:rPr>
        <w:t>c hội về một số cơ chế, chính sách đặc biệt phát triển kinh tế tư nhân; Nghị định số 20/2026/NĐ-CP ngày 15/01/2026 của Chính phủ quy định chi tiết và hướng dẫn thi hành một số điều của Nghị quyết số 198/2025/QH15 ngày 17/5/2025 của Quốc hội về một số cơ ch</w:t>
      </w:r>
      <w:r>
        <w:rPr>
          <w:rFonts w:ascii="Times New Roman" w:hAnsi="Times New Roman"/>
          <w:color w:val="000000" w:themeColor="text1"/>
          <w:sz w:val="28"/>
          <w:szCs w:val="28"/>
        </w:rPr>
        <w:t>ế, chính sách đặc biệt phát triển kinh tế tư nhân; Nghị định số 32/2024/NĐ-CP ngày 15/3/2024 của Chính phủ về quản lý, phát triển cụm công nghiệp; Nghị định số 303/2026/NĐ-CP ngày 01/8/2026 của Chính phủ sửa đổi, bổ sung một số điều của Nghị định số 32/202</w:t>
      </w:r>
      <w:r>
        <w:rPr>
          <w:rFonts w:ascii="Times New Roman" w:hAnsi="Times New Roman"/>
          <w:color w:val="000000" w:themeColor="text1"/>
          <w:sz w:val="28"/>
          <w:szCs w:val="28"/>
        </w:rPr>
        <w:t xml:space="preserve">4/NĐ-CP ngày 15/3/2024 của Chính phủ về quản lý, phát triển cụm công nghiệp; trên cơ sở chức năng, nhiệm vụ được giao, Sở Công Thương đã tổ chức rà soát, nghiên cứu, tổng hợp, tiếp thu ý kiến của các sở, ngành, Ủy ban nhân dân cấp xã và hoàn thiện dự thảo </w:t>
      </w:r>
      <w:r>
        <w:rPr>
          <w:rFonts w:ascii="Times New Roman" w:hAnsi="Times New Roman"/>
          <w:color w:val="000000" w:themeColor="text1"/>
          <w:sz w:val="28"/>
          <w:szCs w:val="28"/>
        </w:rPr>
        <w:t xml:space="preserve">Quyết định </w:t>
      </w:r>
      <w:r>
        <w:rPr>
          <w:rFonts w:ascii="Times New Roman" w:eastAsia="Calibri" w:hAnsi="Times New Roman"/>
          <w:color w:val="000000" w:themeColor="text1"/>
          <w:kern w:val="2"/>
          <w:sz w:val="28"/>
          <w:szCs w:val="28"/>
          <w14:ligatures w14:val="standardContextual"/>
        </w:rPr>
        <w:t>Ban hành nguyên t</w:t>
      </w:r>
      <w:r>
        <w:rPr>
          <w:rFonts w:ascii="Times New Roman" w:eastAsia="Calibri" w:hAnsi="Times New Roman"/>
          <w:color w:val="000000" w:themeColor="text1"/>
          <w:kern w:val="2"/>
          <w:sz w:val="28"/>
          <w:szCs w:val="28"/>
          <w14:ligatures w14:val="standardContextual"/>
        </w:rPr>
        <w:t>ắ</w:t>
      </w:r>
      <w:r>
        <w:rPr>
          <w:rFonts w:ascii="Times New Roman" w:eastAsia="Calibri" w:hAnsi="Times New Roman"/>
          <w:color w:val="000000" w:themeColor="text1"/>
          <w:kern w:val="2"/>
          <w:sz w:val="28"/>
          <w:szCs w:val="28"/>
          <w14:ligatures w14:val="standardContextual"/>
        </w:rPr>
        <w:t>c, tiêu chí, đ</w:t>
      </w:r>
      <w:r>
        <w:rPr>
          <w:rFonts w:ascii="Times New Roman" w:eastAsia="Calibri" w:hAnsi="Times New Roman"/>
          <w:color w:val="000000" w:themeColor="text1"/>
          <w:kern w:val="2"/>
          <w:sz w:val="28"/>
          <w:szCs w:val="28"/>
          <w14:ligatures w14:val="standardContextual"/>
        </w:rPr>
        <w:t>ị</w:t>
      </w:r>
      <w:r>
        <w:rPr>
          <w:rFonts w:ascii="Times New Roman" w:eastAsia="Calibri" w:hAnsi="Times New Roman"/>
          <w:color w:val="000000" w:themeColor="text1"/>
          <w:kern w:val="2"/>
          <w:sz w:val="28"/>
          <w:szCs w:val="28"/>
          <w14:ligatures w14:val="standardContextual"/>
        </w:rPr>
        <w:t>nh m</w:t>
      </w:r>
      <w:r>
        <w:rPr>
          <w:rFonts w:ascii="Times New Roman" w:eastAsia="Calibri" w:hAnsi="Times New Roman"/>
          <w:color w:val="000000" w:themeColor="text1"/>
          <w:kern w:val="2"/>
          <w:sz w:val="28"/>
          <w:szCs w:val="28"/>
          <w14:ligatures w14:val="standardContextual"/>
        </w:rPr>
        <w:t>ứ</w:t>
      </w:r>
      <w:r>
        <w:rPr>
          <w:rFonts w:ascii="Times New Roman" w:eastAsia="Calibri" w:hAnsi="Times New Roman"/>
          <w:color w:val="000000" w:themeColor="text1"/>
          <w:kern w:val="2"/>
          <w:sz w:val="28"/>
          <w:szCs w:val="28"/>
          <w14:ligatures w14:val="standardContextual"/>
        </w:rPr>
        <w:t>c, h</w:t>
      </w:r>
      <w:r>
        <w:rPr>
          <w:rFonts w:ascii="Times New Roman" w:eastAsia="Calibri" w:hAnsi="Times New Roman"/>
          <w:color w:val="000000" w:themeColor="text1"/>
          <w:kern w:val="2"/>
          <w:sz w:val="28"/>
          <w:szCs w:val="28"/>
          <w14:ligatures w14:val="standardContextual"/>
        </w:rPr>
        <w:t>ồ</w:t>
      </w:r>
      <w:r>
        <w:rPr>
          <w:rFonts w:ascii="Times New Roman" w:eastAsia="Calibri" w:hAnsi="Times New Roman"/>
          <w:color w:val="000000" w:themeColor="text1"/>
          <w:kern w:val="2"/>
          <w:sz w:val="28"/>
          <w:szCs w:val="28"/>
          <w14:ligatures w14:val="standardContextual"/>
        </w:rPr>
        <w:t xml:space="preserve"> sơ, trình t</w:t>
      </w:r>
      <w:r>
        <w:rPr>
          <w:rFonts w:ascii="Times New Roman" w:eastAsia="Calibri" w:hAnsi="Times New Roman"/>
          <w:color w:val="000000" w:themeColor="text1"/>
          <w:kern w:val="2"/>
          <w:sz w:val="28"/>
          <w:szCs w:val="28"/>
          <w14:ligatures w14:val="standardContextual"/>
        </w:rPr>
        <w:t>ự</w:t>
      </w:r>
      <w:r>
        <w:rPr>
          <w:rFonts w:ascii="Times New Roman" w:eastAsia="Calibri" w:hAnsi="Times New Roman"/>
          <w:color w:val="000000" w:themeColor="text1"/>
          <w:kern w:val="2"/>
          <w:sz w:val="28"/>
          <w:szCs w:val="28"/>
          <w14:ligatures w14:val="standardContextual"/>
        </w:rPr>
        <w:t>, th</w:t>
      </w:r>
      <w:r>
        <w:rPr>
          <w:rFonts w:ascii="Times New Roman" w:eastAsia="Calibri" w:hAnsi="Times New Roman"/>
          <w:color w:val="000000" w:themeColor="text1"/>
          <w:kern w:val="2"/>
          <w:sz w:val="28"/>
          <w:szCs w:val="28"/>
          <w14:ligatures w14:val="standardContextual"/>
        </w:rPr>
        <w:t>ủ</w:t>
      </w:r>
      <w:r>
        <w:rPr>
          <w:rFonts w:ascii="Times New Roman" w:eastAsia="Calibri" w:hAnsi="Times New Roman"/>
          <w:color w:val="000000" w:themeColor="text1"/>
          <w:kern w:val="2"/>
          <w:sz w:val="28"/>
          <w:szCs w:val="28"/>
          <w14:ligatures w14:val="standardContextual"/>
        </w:rPr>
        <w:t xml:space="preserve"> t</w:t>
      </w:r>
      <w:r>
        <w:rPr>
          <w:rFonts w:ascii="Times New Roman" w:eastAsia="Calibri" w:hAnsi="Times New Roman"/>
          <w:color w:val="000000" w:themeColor="text1"/>
          <w:kern w:val="2"/>
          <w:sz w:val="28"/>
          <w:szCs w:val="28"/>
          <w14:ligatures w14:val="standardContextual"/>
        </w:rPr>
        <w:t>ụ</w:t>
      </w:r>
      <w:r>
        <w:rPr>
          <w:rFonts w:ascii="Times New Roman" w:eastAsia="Calibri" w:hAnsi="Times New Roman"/>
          <w:color w:val="000000" w:themeColor="text1"/>
          <w:kern w:val="2"/>
          <w:sz w:val="28"/>
          <w:szCs w:val="28"/>
          <w14:ligatures w14:val="standardContextual"/>
        </w:rPr>
        <w:t>c th</w:t>
      </w:r>
      <w:r>
        <w:rPr>
          <w:rFonts w:ascii="Times New Roman" w:eastAsia="Calibri" w:hAnsi="Times New Roman"/>
          <w:color w:val="000000" w:themeColor="text1"/>
          <w:kern w:val="2"/>
          <w:sz w:val="28"/>
          <w:szCs w:val="28"/>
          <w14:ligatures w14:val="standardContextual"/>
        </w:rPr>
        <w:t>ự</w:t>
      </w:r>
      <w:r>
        <w:rPr>
          <w:rFonts w:ascii="Times New Roman" w:eastAsia="Calibri" w:hAnsi="Times New Roman"/>
          <w:color w:val="000000" w:themeColor="text1"/>
          <w:kern w:val="2"/>
          <w:sz w:val="28"/>
          <w:szCs w:val="28"/>
          <w14:ligatures w14:val="standardContextual"/>
        </w:rPr>
        <w:t>c hi</w:t>
      </w:r>
      <w:r>
        <w:rPr>
          <w:rFonts w:ascii="Times New Roman" w:eastAsia="Calibri" w:hAnsi="Times New Roman"/>
          <w:color w:val="000000" w:themeColor="text1"/>
          <w:kern w:val="2"/>
          <w:sz w:val="28"/>
          <w:szCs w:val="28"/>
          <w14:ligatures w14:val="standardContextual"/>
        </w:rPr>
        <w:t>ệ</w:t>
      </w:r>
      <w:r>
        <w:rPr>
          <w:rFonts w:ascii="Times New Roman" w:eastAsia="Calibri" w:hAnsi="Times New Roman"/>
          <w:color w:val="000000" w:themeColor="text1"/>
          <w:kern w:val="2"/>
          <w:sz w:val="28"/>
          <w:szCs w:val="28"/>
          <w14:ligatures w14:val="standardContextual"/>
        </w:rPr>
        <w:t>n chính sách h</w:t>
      </w:r>
      <w:r>
        <w:rPr>
          <w:rFonts w:ascii="Times New Roman" w:eastAsia="Calibri" w:hAnsi="Times New Roman"/>
          <w:color w:val="000000" w:themeColor="text1"/>
          <w:kern w:val="2"/>
          <w:sz w:val="28"/>
          <w:szCs w:val="28"/>
          <w14:ligatures w14:val="standardContextual"/>
        </w:rPr>
        <w:t>ỗ</w:t>
      </w:r>
      <w:r>
        <w:rPr>
          <w:rFonts w:ascii="Times New Roman" w:eastAsia="Calibri" w:hAnsi="Times New Roman"/>
          <w:color w:val="000000" w:themeColor="text1"/>
          <w:kern w:val="2"/>
          <w:sz w:val="28"/>
          <w:szCs w:val="28"/>
          <w14:ligatures w14:val="standardContextual"/>
        </w:rPr>
        <w:t xml:space="preserve"> tr</w:t>
      </w:r>
      <w:r>
        <w:rPr>
          <w:rFonts w:ascii="Times New Roman" w:eastAsia="Calibri" w:hAnsi="Times New Roman"/>
          <w:color w:val="000000" w:themeColor="text1"/>
          <w:kern w:val="2"/>
          <w:sz w:val="28"/>
          <w:szCs w:val="28"/>
          <w14:ligatures w14:val="standardContextual"/>
        </w:rPr>
        <w:t>ợ</w:t>
      </w:r>
      <w:r>
        <w:rPr>
          <w:rFonts w:ascii="Times New Roman" w:eastAsia="Calibri" w:hAnsi="Times New Roman"/>
          <w:color w:val="000000" w:themeColor="text1"/>
          <w:kern w:val="2"/>
          <w:sz w:val="28"/>
          <w:szCs w:val="28"/>
          <w14:ligatures w14:val="standardContextual"/>
        </w:rPr>
        <w:t xml:space="preserve"> ti</w:t>
      </w:r>
      <w:r>
        <w:rPr>
          <w:rFonts w:ascii="Times New Roman" w:eastAsia="Calibri" w:hAnsi="Times New Roman"/>
          <w:color w:val="000000" w:themeColor="text1"/>
          <w:kern w:val="2"/>
          <w:sz w:val="28"/>
          <w:szCs w:val="28"/>
          <w14:ligatures w14:val="standardContextual"/>
        </w:rPr>
        <w:t>ế</w:t>
      </w:r>
      <w:r>
        <w:rPr>
          <w:rFonts w:ascii="Times New Roman" w:eastAsia="Calibri" w:hAnsi="Times New Roman"/>
          <w:color w:val="000000" w:themeColor="text1"/>
          <w:kern w:val="2"/>
          <w:sz w:val="28"/>
          <w:szCs w:val="28"/>
          <w14:ligatures w14:val="standardContextual"/>
        </w:rPr>
        <w:t>p c</w:t>
      </w:r>
      <w:r>
        <w:rPr>
          <w:rFonts w:ascii="Times New Roman" w:eastAsia="Calibri" w:hAnsi="Times New Roman"/>
          <w:color w:val="000000" w:themeColor="text1"/>
          <w:kern w:val="2"/>
          <w:sz w:val="28"/>
          <w:szCs w:val="28"/>
          <w14:ligatures w14:val="standardContextual"/>
        </w:rPr>
        <w:t>ậ</w:t>
      </w:r>
      <w:r>
        <w:rPr>
          <w:rFonts w:ascii="Times New Roman" w:eastAsia="Calibri" w:hAnsi="Times New Roman"/>
          <w:color w:val="000000" w:themeColor="text1"/>
          <w:kern w:val="2"/>
          <w:sz w:val="28"/>
          <w:szCs w:val="28"/>
          <w14:ligatures w14:val="standardContextual"/>
        </w:rPr>
        <w:t>n đ</w:t>
      </w:r>
      <w:r>
        <w:rPr>
          <w:rFonts w:ascii="Times New Roman" w:eastAsia="Calibri" w:hAnsi="Times New Roman"/>
          <w:color w:val="000000" w:themeColor="text1"/>
          <w:kern w:val="2"/>
          <w:sz w:val="28"/>
          <w:szCs w:val="28"/>
          <w14:ligatures w14:val="standardContextual"/>
        </w:rPr>
        <w:t>ấ</w:t>
      </w:r>
      <w:r>
        <w:rPr>
          <w:rFonts w:ascii="Times New Roman" w:eastAsia="Calibri" w:hAnsi="Times New Roman"/>
          <w:color w:val="000000" w:themeColor="text1"/>
          <w:kern w:val="2"/>
          <w:sz w:val="28"/>
          <w:szCs w:val="28"/>
          <w14:ligatures w14:val="standardContextual"/>
        </w:rPr>
        <w:t>t đai, m</w:t>
      </w:r>
      <w:r>
        <w:rPr>
          <w:rFonts w:ascii="Times New Roman" w:eastAsia="Calibri" w:hAnsi="Times New Roman"/>
          <w:color w:val="000000" w:themeColor="text1"/>
          <w:kern w:val="2"/>
          <w:sz w:val="28"/>
          <w:szCs w:val="28"/>
          <w14:ligatures w14:val="standardContextual"/>
        </w:rPr>
        <w:t>ặ</w:t>
      </w:r>
      <w:r>
        <w:rPr>
          <w:rFonts w:ascii="Times New Roman" w:eastAsia="Calibri" w:hAnsi="Times New Roman"/>
          <w:color w:val="000000" w:themeColor="text1"/>
          <w:kern w:val="2"/>
          <w:sz w:val="28"/>
          <w:szCs w:val="28"/>
          <w14:ligatures w14:val="standardContextual"/>
        </w:rPr>
        <w:t>t b</w:t>
      </w:r>
      <w:r>
        <w:rPr>
          <w:rFonts w:ascii="Times New Roman" w:eastAsia="Calibri" w:hAnsi="Times New Roman"/>
          <w:color w:val="000000" w:themeColor="text1"/>
          <w:kern w:val="2"/>
          <w:sz w:val="28"/>
          <w:szCs w:val="28"/>
          <w14:ligatures w14:val="standardContextual"/>
        </w:rPr>
        <w:t>ằ</w:t>
      </w:r>
      <w:r>
        <w:rPr>
          <w:rFonts w:ascii="Times New Roman" w:eastAsia="Calibri" w:hAnsi="Times New Roman"/>
          <w:color w:val="000000" w:themeColor="text1"/>
          <w:kern w:val="2"/>
          <w:sz w:val="28"/>
          <w:szCs w:val="28"/>
          <w14:ligatures w14:val="standardContextual"/>
        </w:rPr>
        <w:t>ng s</w:t>
      </w:r>
      <w:r>
        <w:rPr>
          <w:rFonts w:ascii="Times New Roman" w:eastAsia="Calibri" w:hAnsi="Times New Roman"/>
          <w:color w:val="000000" w:themeColor="text1"/>
          <w:kern w:val="2"/>
          <w:sz w:val="28"/>
          <w:szCs w:val="28"/>
          <w14:ligatures w14:val="standardContextual"/>
        </w:rPr>
        <w:t>ả</w:t>
      </w:r>
      <w:r>
        <w:rPr>
          <w:rFonts w:ascii="Times New Roman" w:eastAsia="Calibri" w:hAnsi="Times New Roman"/>
          <w:color w:val="000000" w:themeColor="text1"/>
          <w:kern w:val="2"/>
          <w:sz w:val="28"/>
          <w:szCs w:val="28"/>
          <w14:ligatures w14:val="standardContextual"/>
        </w:rPr>
        <w:t>n xu</w:t>
      </w:r>
      <w:r>
        <w:rPr>
          <w:rFonts w:ascii="Times New Roman" w:eastAsia="Calibri" w:hAnsi="Times New Roman"/>
          <w:color w:val="000000" w:themeColor="text1"/>
          <w:kern w:val="2"/>
          <w:sz w:val="28"/>
          <w:szCs w:val="28"/>
          <w14:ligatures w14:val="standardContextual"/>
        </w:rPr>
        <w:t>ấ</w:t>
      </w:r>
      <w:r>
        <w:rPr>
          <w:rFonts w:ascii="Times New Roman" w:eastAsia="Calibri" w:hAnsi="Times New Roman"/>
          <w:color w:val="000000" w:themeColor="text1"/>
          <w:kern w:val="2"/>
          <w:sz w:val="28"/>
          <w:szCs w:val="28"/>
          <w14:ligatures w14:val="standardContextual"/>
        </w:rPr>
        <w:t>t kinh doanh trong các c</w:t>
      </w:r>
      <w:r>
        <w:rPr>
          <w:rFonts w:ascii="Times New Roman" w:eastAsia="Calibri" w:hAnsi="Times New Roman"/>
          <w:color w:val="000000" w:themeColor="text1"/>
          <w:kern w:val="2"/>
          <w:sz w:val="28"/>
          <w:szCs w:val="28"/>
          <w14:ligatures w14:val="standardContextual"/>
        </w:rPr>
        <w:t>ụ</w:t>
      </w:r>
      <w:r>
        <w:rPr>
          <w:rFonts w:ascii="Times New Roman" w:eastAsia="Calibri" w:hAnsi="Times New Roman"/>
          <w:color w:val="000000" w:themeColor="text1"/>
          <w:kern w:val="2"/>
          <w:sz w:val="28"/>
          <w:szCs w:val="28"/>
          <w14:ligatures w14:val="standardContextual"/>
        </w:rPr>
        <w:t>m công nghi</w:t>
      </w:r>
      <w:r>
        <w:rPr>
          <w:rFonts w:ascii="Times New Roman" w:eastAsia="Calibri" w:hAnsi="Times New Roman"/>
          <w:color w:val="000000" w:themeColor="text1"/>
          <w:kern w:val="2"/>
          <w:sz w:val="28"/>
          <w:szCs w:val="28"/>
          <w14:ligatures w14:val="standardContextual"/>
        </w:rPr>
        <w:t>ệ</w:t>
      </w:r>
      <w:r>
        <w:rPr>
          <w:rFonts w:ascii="Times New Roman" w:eastAsia="Calibri" w:hAnsi="Times New Roman"/>
          <w:color w:val="000000" w:themeColor="text1"/>
          <w:kern w:val="2"/>
          <w:sz w:val="28"/>
          <w:szCs w:val="28"/>
          <w14:ligatures w14:val="standardContextual"/>
        </w:rPr>
        <w:t>p trên đ</w:t>
      </w:r>
      <w:r>
        <w:rPr>
          <w:rFonts w:ascii="Times New Roman" w:eastAsia="Calibri" w:hAnsi="Times New Roman"/>
          <w:color w:val="000000" w:themeColor="text1"/>
          <w:kern w:val="2"/>
          <w:sz w:val="28"/>
          <w:szCs w:val="28"/>
          <w14:ligatures w14:val="standardContextual"/>
        </w:rPr>
        <w:t>ị</w:t>
      </w:r>
      <w:r>
        <w:rPr>
          <w:rFonts w:ascii="Times New Roman" w:eastAsia="Calibri" w:hAnsi="Times New Roman"/>
          <w:color w:val="000000" w:themeColor="text1"/>
          <w:kern w:val="2"/>
          <w:sz w:val="28"/>
          <w:szCs w:val="28"/>
          <w14:ligatures w14:val="standardContextual"/>
        </w:rPr>
        <w:t>a bàn t</w:t>
      </w:r>
      <w:r>
        <w:rPr>
          <w:rFonts w:ascii="Times New Roman" w:eastAsia="Calibri" w:hAnsi="Times New Roman"/>
          <w:color w:val="000000" w:themeColor="text1"/>
          <w:kern w:val="2"/>
          <w:sz w:val="28"/>
          <w:szCs w:val="28"/>
          <w14:ligatures w14:val="standardContextual"/>
        </w:rPr>
        <w:t>ỉ</w:t>
      </w:r>
      <w:r>
        <w:rPr>
          <w:rFonts w:ascii="Times New Roman" w:eastAsia="Calibri" w:hAnsi="Times New Roman"/>
          <w:color w:val="000000" w:themeColor="text1"/>
          <w:kern w:val="2"/>
          <w:sz w:val="28"/>
          <w:szCs w:val="28"/>
          <w14:ligatures w14:val="standardContextual"/>
        </w:rPr>
        <w:t>nh Thanh Hóa th</w:t>
      </w:r>
      <w:r>
        <w:rPr>
          <w:rFonts w:ascii="Times New Roman" w:eastAsia="Calibri" w:hAnsi="Times New Roman"/>
          <w:color w:val="000000" w:themeColor="text1"/>
          <w:kern w:val="2"/>
          <w:sz w:val="28"/>
          <w:szCs w:val="28"/>
          <w14:ligatures w14:val="standardContextual"/>
        </w:rPr>
        <w:t>ự</w:t>
      </w:r>
      <w:r>
        <w:rPr>
          <w:rFonts w:ascii="Times New Roman" w:eastAsia="Calibri" w:hAnsi="Times New Roman"/>
          <w:color w:val="000000" w:themeColor="text1"/>
          <w:kern w:val="2"/>
          <w:sz w:val="28"/>
          <w:szCs w:val="28"/>
          <w14:ligatures w14:val="standardContextual"/>
        </w:rPr>
        <w:t>c hi</w:t>
      </w:r>
      <w:r>
        <w:rPr>
          <w:rFonts w:ascii="Times New Roman" w:eastAsia="Calibri" w:hAnsi="Times New Roman"/>
          <w:color w:val="000000" w:themeColor="text1"/>
          <w:kern w:val="2"/>
          <w:sz w:val="28"/>
          <w:szCs w:val="28"/>
          <w14:ligatures w14:val="standardContextual"/>
        </w:rPr>
        <w:t>ệ</w:t>
      </w:r>
      <w:r>
        <w:rPr>
          <w:rFonts w:ascii="Times New Roman" w:eastAsia="Calibri" w:hAnsi="Times New Roman"/>
          <w:color w:val="000000" w:themeColor="text1"/>
          <w:kern w:val="2"/>
          <w:sz w:val="28"/>
          <w:szCs w:val="28"/>
          <w14:ligatures w14:val="standardContextual"/>
        </w:rPr>
        <w:t xml:space="preserve">n </w:t>
      </w:r>
      <w:r>
        <w:rPr>
          <w:rFonts w:ascii="Times New Roman" w:hAnsi="Times New Roman"/>
          <w:color w:val="000000" w:themeColor="text1"/>
          <w:sz w:val="28"/>
          <w:szCs w:val="28"/>
        </w:rPr>
        <w:t>Nghị quyết số 198/2025/QH15 ngày 17/5/20</w:t>
      </w:r>
      <w:r>
        <w:rPr>
          <w:rFonts w:ascii="Times New Roman" w:hAnsi="Times New Roman"/>
          <w:color w:val="000000" w:themeColor="text1"/>
          <w:sz w:val="28"/>
          <w:szCs w:val="28"/>
        </w:rPr>
        <w:t>25 của Quốc hội về một số cơ chế, chính sách đặc biệt phát triển kinh tế tư nhân; Sở Công Thương kính trình Ủy ban nhân dân tỉnh xem xét, ban hành Quyết định với các nội dung chủ yếu như sau:</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I. SỰ CẦN THIẾT BAN HÀNH QUYẾT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1. Cơ sở chính trị, pháp lý</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Nghị quyết số 198/2025/QH15 của Quốc hội đã quy định một số cơ chế, chính sách đặc biệt nhằm tạo điều kiện thuận lợi cho phát triển kinh tế tư nhân, trong đó có chính sách hỗ trợ tiếp cận đất đai, mặt bằng sản xuất kinh doanh.</w:t>
      </w:r>
    </w:p>
    <w:p w:rsidR="00876277" w:rsidRDefault="00BB0D14">
      <w:pPr>
        <w:spacing w:after="120"/>
        <w:ind w:firstLine="720"/>
        <w:jc w:val="both"/>
        <w:rPr>
          <w:rFonts w:ascii="Times New Roman" w:hAnsi="Times New Roman"/>
          <w:color w:val="000000" w:themeColor="text1"/>
          <w:sz w:val="28"/>
          <w:szCs w:val="28"/>
        </w:rPr>
      </w:pPr>
      <w:bookmarkStart w:id="1" w:name="dieu_7"/>
      <w:r>
        <w:rPr>
          <w:rFonts w:ascii="Times New Roman" w:hAnsi="Times New Roman"/>
          <w:color w:val="000000" w:themeColor="text1"/>
          <w:sz w:val="28"/>
          <w:szCs w:val="28"/>
        </w:rPr>
        <w:t xml:space="preserve">Theo đó, tại Điều 7. Hỗ trợ </w:t>
      </w:r>
      <w:r>
        <w:rPr>
          <w:rFonts w:ascii="Times New Roman" w:hAnsi="Times New Roman"/>
          <w:color w:val="000000" w:themeColor="text1"/>
          <w:sz w:val="28"/>
          <w:szCs w:val="28"/>
        </w:rPr>
        <w:t>tiếp cận đất đai, mặt bằng sản xuất kinh doanh</w:t>
      </w:r>
      <w:bookmarkEnd w:id="1"/>
      <w:r>
        <w:rPr>
          <w:rFonts w:ascii="Times New Roman" w:hAnsi="Times New Roman"/>
          <w:color w:val="000000" w:themeColor="text1"/>
          <w:sz w:val="28"/>
          <w:szCs w:val="28"/>
        </w:rPr>
        <w:t xml:space="preserve">, quy định cụ thể như sau: </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“1. Các địa phương được sử dụng ngân sách địa phương để hỗ trợ một phần đầu tư xây dựng hệ thống kết cấu hạ tầng khu công nghiệp, cụm công nghiệp, vườn ươm công nghệ. Các nội dung đư</w:t>
      </w:r>
      <w:r>
        <w:rPr>
          <w:rFonts w:ascii="Times New Roman" w:hAnsi="Times New Roman"/>
          <w:color w:val="000000" w:themeColor="text1"/>
          <w:sz w:val="28"/>
          <w:szCs w:val="28"/>
        </w:rPr>
        <w:t>ợc hỗ trợ bao gồm: hỗ trợ thu hồi đất, bồi thường, tái định cư; hỗ trợ đầu tư công trình kết cấu hạ tầng giao thông, cấp điện, cấp nước, thoát nước, xử lý nước thải và thông tin liên lạc.</w:t>
      </w:r>
    </w:p>
    <w:p w:rsidR="00876277" w:rsidRDefault="00BB0D14">
      <w:pPr>
        <w:spacing w:after="120"/>
        <w:ind w:firstLine="720"/>
        <w:jc w:val="both"/>
        <w:rPr>
          <w:rFonts w:ascii="Times New Roman" w:hAnsi="Times New Roman"/>
          <w:color w:val="000000" w:themeColor="text1"/>
          <w:sz w:val="28"/>
          <w:szCs w:val="28"/>
        </w:rPr>
      </w:pPr>
      <w:bookmarkStart w:id="2" w:name="khoan_2_7"/>
      <w:r>
        <w:rPr>
          <w:rFonts w:ascii="Times New Roman" w:hAnsi="Times New Roman"/>
          <w:color w:val="000000" w:themeColor="text1"/>
          <w:sz w:val="28"/>
          <w:szCs w:val="28"/>
        </w:rPr>
        <w:t>2. Chủ đầu tư kinh doanh hạ tầng khu công nghiệp, cụm công nghiệp, v</w:t>
      </w:r>
      <w:r>
        <w:rPr>
          <w:rFonts w:ascii="Times New Roman" w:hAnsi="Times New Roman"/>
          <w:color w:val="000000" w:themeColor="text1"/>
          <w:sz w:val="28"/>
          <w:szCs w:val="28"/>
        </w:rPr>
        <w:t>ườn ươm công nghệ được hỗ trợ đầu tư theo quy định tại khoản 1 Điều này phải dành một phần diện tích đất đã đầu tư hạ tầng cho doanh nghiệp công nghệ cao thuộc khu vực kinh tế tư nhân, doanh nghiệp nhỏ và vừa, doanh nghiệp khởi nghiệp sáng tạo thuê, thuê l</w:t>
      </w:r>
      <w:r>
        <w:rPr>
          <w:rFonts w:ascii="Times New Roman" w:hAnsi="Times New Roman"/>
          <w:color w:val="000000" w:themeColor="text1"/>
          <w:sz w:val="28"/>
          <w:szCs w:val="28"/>
        </w:rPr>
        <w:t>ại. Không áp dụng quy định của pháp luật về quản lý, sử dụng tài sản công đối với tài sản hình thành từ nguồn vốn hỗ trợ đầu tư quy định tại khoản 1 Điều này.</w:t>
      </w:r>
      <w:bookmarkEnd w:id="2"/>
    </w:p>
    <w:p w:rsidR="00876277" w:rsidRDefault="00BB0D14">
      <w:pPr>
        <w:spacing w:after="120"/>
        <w:ind w:firstLine="720"/>
        <w:jc w:val="both"/>
        <w:rPr>
          <w:rFonts w:ascii="Times New Roman" w:hAnsi="Times New Roman"/>
          <w:color w:val="000000" w:themeColor="text1"/>
          <w:sz w:val="28"/>
          <w:szCs w:val="28"/>
        </w:rPr>
      </w:pPr>
      <w:bookmarkStart w:id="3" w:name="khoan_3_7"/>
      <w:r>
        <w:rPr>
          <w:rFonts w:ascii="Times New Roman" w:hAnsi="Times New Roman"/>
          <w:color w:val="000000" w:themeColor="text1"/>
          <w:sz w:val="28"/>
          <w:szCs w:val="28"/>
        </w:rPr>
        <w:t>3. Căn cứ vào tình hình thực tế và khả năng cân đối ngân sách địa phương, Ủy ban nhân dân cấp tỉn</w:t>
      </w:r>
      <w:r>
        <w:rPr>
          <w:rFonts w:ascii="Times New Roman" w:hAnsi="Times New Roman"/>
          <w:color w:val="000000" w:themeColor="text1"/>
          <w:sz w:val="28"/>
          <w:szCs w:val="28"/>
        </w:rPr>
        <w:t>h quy định nguyên tắc, tiêu chí, định mức hỗ trợ đầu tư và xác định diện tích đất đã đầu tư hạ tầng của khu công nghiệp, cụm công nghiệp, vườn ươm công nghệ dành cho doanh nghiệp công nghệ cao thuộc khu vực kinh tế tư nhân, doanh nghiệp nhỏ và vừa, doanh n</w:t>
      </w:r>
      <w:r>
        <w:rPr>
          <w:rFonts w:ascii="Times New Roman" w:hAnsi="Times New Roman"/>
          <w:color w:val="000000" w:themeColor="text1"/>
          <w:sz w:val="28"/>
          <w:szCs w:val="28"/>
        </w:rPr>
        <w:t>ghiệp khởi nghiệp sáng tạo thuê, thuê lại quy định tại khoản 1 và khoản 2 Điều này.</w:t>
      </w:r>
      <w:bookmarkEnd w:id="3"/>
      <w:r>
        <w:rPr>
          <w:rFonts w:ascii="Times New Roman" w:hAnsi="Times New Roman"/>
          <w:color w:val="000000" w:themeColor="text1"/>
          <w:sz w:val="28"/>
          <w:szCs w:val="28"/>
        </w:rPr>
        <w: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Như vậy, địa phương được sử dụng ngân sách địa phương để hỗ trợ một phần đầu tư xây dựng hệ thống kết cấu hạ tầng khu công nghiệp, cụm công nghiệp, vườn ươm công nghệ; đồn</w:t>
      </w:r>
      <w:r>
        <w:rPr>
          <w:rFonts w:ascii="Times New Roman" w:hAnsi="Times New Roman"/>
          <w:color w:val="000000" w:themeColor="text1"/>
          <w:sz w:val="28"/>
          <w:szCs w:val="28"/>
        </w:rPr>
        <w:t xml:space="preserve">g thời </w:t>
      </w:r>
      <w:r>
        <w:rPr>
          <w:rFonts w:ascii="Times New Roman" w:hAnsi="Times New Roman"/>
          <w:color w:val="000000"/>
          <w:sz w:val="28"/>
          <w:szCs w:val="28"/>
          <w:lang w:val="vi-VN"/>
        </w:rPr>
        <w:t xml:space="preserve">chủ đầu tư xây dựng hạ tầng kỹ thuật </w:t>
      </w:r>
      <w:r>
        <w:rPr>
          <w:rFonts w:ascii="Times New Roman" w:hAnsi="Times New Roman"/>
          <w:color w:val="000000" w:themeColor="text1"/>
          <w:sz w:val="28"/>
          <w:szCs w:val="28"/>
        </w:rPr>
        <w:t xml:space="preserve">khu công nghiệp, cụm công nghiệp, vườn ươm công nghệ được hỗ trợ có trách nhiệm dành một phần diện tích đất đã đầu tư xây dựng hạ tầng cho doanh nghiệp công nghệ cao thuộc khu vực kinh tế tư nhân, doanh nghiệp </w:t>
      </w:r>
      <w:r>
        <w:rPr>
          <w:rFonts w:ascii="Times New Roman" w:hAnsi="Times New Roman"/>
          <w:color w:val="000000" w:themeColor="text1"/>
          <w:sz w:val="28"/>
          <w:szCs w:val="28"/>
        </w:rPr>
        <w:t>nhỏ và vừa, doanh nghiệp khởi nghiệp sáng tạo thuê, thuê lại.</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Nghị định số 20/2026/NĐ-CP của Chính phủ quy định chi tiết và hướng dẫn thi hành một số nội dung của Nghị quyết số 198/2025/QH15, tạo cơ sở để địa phương tổ chức triển khai chính sách hỗ trợ tiế</w:t>
      </w:r>
      <w:r>
        <w:rPr>
          <w:rFonts w:ascii="Times New Roman" w:hAnsi="Times New Roman"/>
          <w:color w:val="000000" w:themeColor="text1"/>
          <w:sz w:val="28"/>
          <w:szCs w:val="28"/>
        </w:rPr>
        <w:t>p cận đất đai, mặt bằng sản xuất kinh doanh và thực hiện cơ chế giảm tiền thuê lại đất đối với các đối tượng được ưu tiên.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Đồng thời, Nghị định số 303/2026/NĐ-CP ngày 01/8/2026 sửa đổi, bổ sung Nghị định số 32/2024/NĐ-CP về quản lý, phát triển cụm công ngh</w:t>
      </w:r>
      <w:r>
        <w:rPr>
          <w:rFonts w:ascii="Times New Roman" w:hAnsi="Times New Roman"/>
          <w:color w:val="000000" w:themeColor="text1"/>
          <w:sz w:val="28"/>
          <w:szCs w:val="28"/>
        </w:rPr>
        <w:t>iệp đã bổ sung, làm rõ cơ chế về đối tượng thu hút đầu tư, quỹ đất công nghiệp dành cho doanh nghiệp công nghệ cao thuộc khu vực kinh tế tư nhân, doanh nghiệp nhỏ và vừa, doanh nghiệp khởi nghiệp sáng tạo thuê, thuê lại; nội dung này được thể hiện trong hồ</w:t>
      </w:r>
      <w:r>
        <w:rPr>
          <w:rFonts w:ascii="Times New Roman" w:hAnsi="Times New Roman"/>
          <w:color w:val="000000" w:themeColor="text1"/>
          <w:sz w:val="28"/>
          <w:szCs w:val="28"/>
        </w:rPr>
        <w:t xml:space="preserve"> sơ thành lập, mở rộng và Quyết định thành lập, mở rộng cụm công nghiệp; theo đó, Nghị định số 303/2026/NĐ-CP quy định Ủy ban nhân dân cấp tỉnh có trách nhiệm quy định về nguyên tắc, tiêu chí, định mức, thủ tục hỗ trợ đầu tư từ ngân sách địa phương để xây </w:t>
      </w:r>
      <w:r>
        <w:rPr>
          <w:rFonts w:ascii="Times New Roman" w:hAnsi="Times New Roman"/>
          <w:color w:val="000000" w:themeColor="text1"/>
          <w:sz w:val="28"/>
          <w:szCs w:val="28"/>
        </w:rPr>
        <w:t>dựng hạ tầng kỹ thuật các cụm công nghiệp trên địa bàn; đồng thời ban hành quyết định về mức giảm tiền thuê lại đất cho doanh nghiệp công nghệ cao thuộc khu vực kinh tế tư nhân, doanh nghiệp nhỏ và vừa, doanh nghiệp khởi nghiệp sáng tạo.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Do đó, việc Ủy ban</w:t>
      </w:r>
      <w:r>
        <w:rPr>
          <w:rFonts w:ascii="Times New Roman" w:hAnsi="Times New Roman"/>
          <w:color w:val="000000" w:themeColor="text1"/>
          <w:sz w:val="28"/>
          <w:szCs w:val="28"/>
        </w:rPr>
        <w:t xml:space="preserve"> nhân dân tỉnh Thanh Hóa ban hành Quyết định để cụ thể hóa các nguyên tắc, tiêu chí, định mức và trình tự thực hiện chính sách hỗ trợ là cần thiết, bảo đảm cơ sở pháp lý để tổ chức thực hiện thống nhất trên địa bàn tỉnh.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 Thực tiễn trên địa bàn tỉnh Than</w:t>
      </w:r>
      <w:r>
        <w:rPr>
          <w:rFonts w:ascii="Times New Roman" w:hAnsi="Times New Roman"/>
          <w:b/>
          <w:bCs/>
          <w:color w:val="000000" w:themeColor="text1"/>
          <w:sz w:val="28"/>
          <w:szCs w:val="28"/>
        </w:rPr>
        <w:t>h Hóa.</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Thanh Hóa có số lượng cụm công nghiệp tương đối lớn, phân bố trên nhiều địa bàn, với điều kiện về quy mô, mức độ đầu tư hạ tầng kỹ thuật, khả năng thu hút đầu tư và tỷ lệ lấp đầy khác nhau.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Trong thực tế, chi phí đầu tư xây dựng kết cấu hạ tầng kỹ t</w:t>
      </w:r>
      <w:r>
        <w:rPr>
          <w:rFonts w:ascii="Times New Roman" w:hAnsi="Times New Roman"/>
          <w:color w:val="000000" w:themeColor="text1"/>
          <w:sz w:val="28"/>
          <w:szCs w:val="28"/>
        </w:rPr>
        <w:t xml:space="preserve">huật cụm công nghiệp lớn, trong khi khả năng huy động và thu hồi vốn của </w:t>
      </w:r>
      <w:r>
        <w:rPr>
          <w:rFonts w:ascii="Times New Roman" w:hAnsi="Times New Roman"/>
          <w:color w:val="000000"/>
          <w:sz w:val="28"/>
          <w:szCs w:val="28"/>
          <w:lang w:val="vi-VN"/>
        </w:rPr>
        <w:t xml:space="preserve">chủ đầu tư xây dựng hạ tầng kỹ thuật cụm công nghiệp </w:t>
      </w:r>
      <w:r>
        <w:rPr>
          <w:rFonts w:ascii="Times New Roman" w:hAnsi="Times New Roman"/>
          <w:color w:val="000000" w:themeColor="text1"/>
          <w:sz w:val="28"/>
          <w:szCs w:val="28"/>
        </w:rPr>
        <w:t>phụ thuộc nhiều vào tiến độ giải phóng mặt bằng, đầu tư hoàn thiện hạ tầng và thu hút doanh nghiệp thứ cấp.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Việc thực hiện chính s</w:t>
      </w:r>
      <w:r>
        <w:rPr>
          <w:rFonts w:ascii="Times New Roman" w:hAnsi="Times New Roman"/>
          <w:color w:val="000000" w:themeColor="text1"/>
          <w:sz w:val="28"/>
          <w:szCs w:val="28"/>
        </w:rPr>
        <w:t xml:space="preserve">ách hỗ trợ từ ngân sách địa phương sẽ góp phần giảm một phần chi phí đầu tư hạ tầng, tạo điều kiện để </w:t>
      </w:r>
      <w:r>
        <w:rPr>
          <w:rFonts w:ascii="Times New Roman" w:hAnsi="Times New Roman"/>
          <w:color w:val="000000"/>
          <w:sz w:val="28"/>
          <w:szCs w:val="28"/>
          <w:lang w:val="vi-VN"/>
        </w:rPr>
        <w:t xml:space="preserve">chủ đầu tư xây dựng hạ tầng kỹ thuật cụm công nghiệp </w:t>
      </w:r>
      <w:r>
        <w:rPr>
          <w:rFonts w:ascii="Times New Roman" w:hAnsi="Times New Roman"/>
          <w:color w:val="000000" w:themeColor="text1"/>
          <w:sz w:val="28"/>
          <w:szCs w:val="28"/>
        </w:rPr>
        <w:t xml:space="preserve">đẩy nhanh tiến độ hoàn thiện các công trình hạ tầng kỹ thuật, nâng cao khả năng thu hút doanh nghiệp </w:t>
      </w:r>
      <w:r>
        <w:rPr>
          <w:rFonts w:ascii="Times New Roman" w:hAnsi="Times New Roman"/>
          <w:color w:val="000000" w:themeColor="text1"/>
          <w:sz w:val="28"/>
          <w:szCs w:val="28"/>
        </w:rPr>
        <w:t>vào cụm công nghiệp, đặc biệt là doanh nghiệp nhỏ và vừa, doanh nghiệp khởi nghiệp sáng tạo và doanh nghiệp công nghệ cao thuộc khu vực kinh tế tư nhân.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Tuy nhiên, nếu không có quy định cụ thể về đối tượng, điều kiện, phạm vi, tiêu chí, mức hỗ trợ, hồ sơ v</w:t>
      </w:r>
      <w:r>
        <w:rPr>
          <w:rFonts w:ascii="Times New Roman" w:hAnsi="Times New Roman"/>
          <w:color w:val="000000" w:themeColor="text1"/>
          <w:sz w:val="28"/>
          <w:szCs w:val="28"/>
        </w:rPr>
        <w:t>à trình tự thực hiện thì việc tổ chức triển khai chính sách có thể phát sinh cách hiểu và áp dụng không thống nhất giữa các cụm công nghiệp; đồng thời khó xác định cơ sở để thẩm định, quyết định và thanh toán, quyết toán kinh phí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Vì vậy, cần thiết </w:t>
      </w:r>
      <w:r>
        <w:rPr>
          <w:rFonts w:ascii="Times New Roman" w:hAnsi="Times New Roman"/>
          <w:color w:val="000000" w:themeColor="text1"/>
          <w:sz w:val="28"/>
          <w:szCs w:val="28"/>
        </w:rPr>
        <w:t>ban hành một quy định thống nhất của tỉnh để làm cơ sở tổ chức thực hiện chính sách.</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II. MỤC ĐÍCH BAN HÀNH QUYẾT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1. Mục đích chung.</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Cụ thể hóa và tổ chức thực hiện thống nhất trên địa bàn tỉnh Thanh Hóa các chính sách về hỗ trợ tiếp cận đất đai, mặt </w:t>
      </w:r>
      <w:r>
        <w:rPr>
          <w:rFonts w:ascii="Times New Roman" w:hAnsi="Times New Roman"/>
          <w:color w:val="000000" w:themeColor="text1"/>
          <w:sz w:val="28"/>
          <w:szCs w:val="28"/>
        </w:rPr>
        <w:t>bằng sản xuất kinh doanh trong cụm công nghiệp theo Nghị quyết số 198/2025/QH15, Nghị định số 20/2026/NĐ-CP và các quy định pháp luật có liên quan.</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 Mục tiêu cụ thể.</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a) Xác định rõ nguyên tắc, tiêu chí và phạm vi hỗ trợ từ ngân sách tỉnh đối với đầu tư x</w:t>
      </w:r>
      <w:r>
        <w:rPr>
          <w:rFonts w:ascii="Times New Roman" w:hAnsi="Times New Roman"/>
          <w:color w:val="000000" w:themeColor="text1"/>
          <w:sz w:val="28"/>
          <w:szCs w:val="28"/>
        </w:rPr>
        <w:t>ây dựng hạ tầng kỹ thuật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b) Xác định rõ diện tích đất dành cho doanh nghiệp công nghệ cao thuộc khu vực kinh tế tư nhân, doanh nghiệp nhỏ và vừa, doanh nghiệp khởi nghiệp sáng tạo trong các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c) Xác định phương pháp tính mức</w:t>
      </w:r>
      <w:r>
        <w:rPr>
          <w:rFonts w:ascii="Times New Roman" w:hAnsi="Times New Roman"/>
          <w:color w:val="000000" w:themeColor="text1"/>
          <w:sz w:val="28"/>
          <w:szCs w:val="28"/>
        </w:rPr>
        <w:t xml:space="preserve"> hỗ trợ trên cơ sở chi phí đầu tư hạ tầng kỹ thuật thực tế, khối lượng hoàn thành, được nghiệm thu và có đầy đủ hồ sơ, chứng từ hợp pháp.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d) Bảo đảm chính sách hỗ trợ được thực hiện đúng đối tượng, đúng mục đích, công khai, minh bạch, tránh trùng lặp với c</w:t>
      </w:r>
      <w:r>
        <w:rPr>
          <w:rFonts w:ascii="Times New Roman" w:hAnsi="Times New Roman"/>
          <w:color w:val="000000" w:themeColor="text1"/>
          <w:sz w:val="28"/>
          <w:szCs w:val="28"/>
        </w:rPr>
        <w:t>ác chính sách hỗ trợ khác từ ngân sách nhà nước.</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đ) Tạo cơ sở pháp lý để </w:t>
      </w:r>
      <w:r>
        <w:rPr>
          <w:rFonts w:ascii="Times New Roman" w:hAnsi="Times New Roman"/>
          <w:color w:val="000000"/>
          <w:sz w:val="28"/>
          <w:szCs w:val="28"/>
          <w:lang w:val="vi-VN"/>
        </w:rPr>
        <w:t xml:space="preserve">chủ đầu tư xây dựng hạ tầng kỹ thuật cụm công nghiệp </w:t>
      </w:r>
      <w:r>
        <w:rPr>
          <w:rFonts w:ascii="Times New Roman" w:hAnsi="Times New Roman"/>
          <w:color w:val="000000" w:themeColor="text1"/>
          <w:sz w:val="28"/>
          <w:szCs w:val="28"/>
        </w:rPr>
        <w:t>chủ động xây dựng kế hoạch đầu tư, bố trí quỹ đất và thu hút các đối tượng được ưu tiên.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e) Gắn việc hỗ trợ đầu tư hạ tầng với trá</w:t>
      </w:r>
      <w:r>
        <w:rPr>
          <w:rFonts w:ascii="Times New Roman" w:hAnsi="Times New Roman"/>
          <w:color w:val="000000" w:themeColor="text1"/>
          <w:sz w:val="28"/>
          <w:szCs w:val="28"/>
        </w:rPr>
        <w:t>ch nhiệm dành quỹ đất và thực hiện chính sách giảm tiền thuê lại đất cho các đối tượng được ưu tiên theo quy định của pháp luật.</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III. QUAN ĐIỂM VÀ NGUYÊN TẮC XÂY DỰNG QUYẾT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1. Bảo đảm đúng thẩm quyền và phù hợp quy định của pháp luật.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Nội dung dự thả</w:t>
      </w:r>
      <w:r>
        <w:rPr>
          <w:rFonts w:ascii="Times New Roman" w:hAnsi="Times New Roman"/>
          <w:color w:val="000000" w:themeColor="text1"/>
          <w:sz w:val="28"/>
          <w:szCs w:val="28"/>
        </w:rPr>
        <w:t>o Quyết định được xây dựng trên cơ sở Nghị quyết số 198/2025/QH15, Nghị định số 20/2026/NĐ-CP, Nghị định số 32/2024/NĐ-CP và Nghị định số 303/2026/NĐ-CP cùng các quy định của pháp luật có liên quan.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Các nội dung thuộc thẩm quyền của Ủy ban nhân dân tỉnh đư</w:t>
      </w:r>
      <w:r>
        <w:rPr>
          <w:rFonts w:ascii="Times New Roman" w:hAnsi="Times New Roman"/>
          <w:color w:val="000000" w:themeColor="text1"/>
          <w:sz w:val="28"/>
          <w:szCs w:val="28"/>
        </w:rPr>
        <w:t>ợc cụ thể hóa phù hợp với điều kiện thực tế của địa phương, không quy định lại hoặc làm thay đổi các quyền, nghĩa vụ đã được pháp luật quy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 Hỗ trợ có trọng tâm, gắn với kết quả thực tế.</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Việc hỗ trợ được xác định trên cơ sở:</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Diện tích đất thực tế </w:t>
      </w:r>
      <w:r>
        <w:rPr>
          <w:rFonts w:ascii="Times New Roman" w:hAnsi="Times New Roman"/>
          <w:color w:val="000000" w:themeColor="text1"/>
          <w:sz w:val="28"/>
          <w:szCs w:val="28"/>
        </w:rPr>
        <w:t>được bố trí cho các đối tượng được ưu tiên;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Hạ tầng kỹ thuật thực tế đã hoàn thành;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Khối lượng đã được nghiệm thu;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Chi phí thực tế có đầy đủ hồ sơ, chứng từ hợp pháp;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Không trùng với phần kinh phí đã được ngân sách nhà nước hỗ trợ theo chính sách k</w:t>
      </w:r>
      <w:r>
        <w:rPr>
          <w:rFonts w:ascii="Times New Roman" w:hAnsi="Times New Roman"/>
          <w:color w:val="000000" w:themeColor="text1"/>
          <w:sz w:val="28"/>
          <w:szCs w:val="28"/>
        </w:rPr>
        <w:t>hác.</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Theo đó, chính sách không thực hiện hỗ trợ theo diện tích đăng ký hoặc dự kiến đầu tư mà gắn với kết quả thực tế và điều kiện đủ để xác định, thanh toán, quyết toán kinh phí.</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3. Bảo đảm công bằng giữa các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Do điều kiện của từng cụm côn</w:t>
      </w:r>
      <w:r>
        <w:rPr>
          <w:rFonts w:ascii="Times New Roman" w:hAnsi="Times New Roman"/>
          <w:color w:val="000000" w:themeColor="text1"/>
          <w:sz w:val="28"/>
          <w:szCs w:val="28"/>
        </w:rPr>
        <w:t>g nghiệp khác nhau về quy mô, hiện trạng hạ tầng, quỹ đất, khả năng thu hút đầu tư và chi phí đầu tư, dự thảo không áp dụng một mức hỗ trợ tuyệt đối như nhau cho tất cả các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Mức hỗ trợ được xác định theo phương pháp hỗ trợ bình quân trên 01</w:t>
      </w:r>
      <w:r>
        <w:rPr>
          <w:rFonts w:ascii="Times New Roman" w:hAnsi="Times New Roman"/>
          <w:color w:val="000000" w:themeColor="text1"/>
          <w:sz w:val="28"/>
          <w:szCs w:val="28"/>
        </w:rPr>
        <w:t xml:space="preserve"> ha, trên cơ sở chi phí đầu tư hạ tầng kỹ thuật thuộc phạm vi hỗ trợ và diện tích đất công nghiệp đã được đầu tư hạ tầng thuộc phạm vi phân bổ chi phí, sau đó xác định mức hỗ trợ theo diện tích thực tế đủ điều kiện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Cách xác định này bảo đảm phù hợp</w:t>
      </w:r>
      <w:r>
        <w:rPr>
          <w:rFonts w:ascii="Times New Roman" w:hAnsi="Times New Roman"/>
          <w:color w:val="000000" w:themeColor="text1"/>
          <w:sz w:val="28"/>
          <w:szCs w:val="28"/>
        </w:rPr>
        <w:t xml:space="preserve"> với đặc điểm đầu tư hạ tầng dùng chung của cụm công nghiệp và hạn chế việc hỗ trợ vượt quá chi phí thực tế.</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lastRenderedPageBreak/>
        <w:t>4. Bảo đảm khả năng kiểm soát ngân sách.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Dự thảo quy định tỷ lệ hỗ trợ từ ngân sách tỉnh là 50% chi phí đầu tư các hạng mục hạ tầng kỹ thuật thuộc </w:t>
      </w:r>
      <w:r>
        <w:rPr>
          <w:rFonts w:ascii="Times New Roman" w:hAnsi="Times New Roman"/>
          <w:color w:val="000000" w:themeColor="text1"/>
          <w:sz w:val="28"/>
          <w:szCs w:val="28"/>
        </w:rPr>
        <w:t>phạm vi hỗ trợ và mức hỗ trợ tối đa không quá 10.000 triệu đồng đối với một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Việc xác định mức hỗ trợ cụ thể phải căn cứ hồ sơ, kết quả thẩm định và quyết định của Ủy ban nhân dân tỉnh; không mặc nhiên phát sinh nghĩa vụ hỗ trợ chỉ trên cơ </w:t>
      </w:r>
      <w:r>
        <w:rPr>
          <w:rFonts w:ascii="Times New Roman" w:hAnsi="Times New Roman"/>
          <w:color w:val="000000" w:themeColor="text1"/>
          <w:sz w:val="28"/>
          <w:szCs w:val="28"/>
        </w:rPr>
        <w:t xml:space="preserve">sở </w:t>
      </w:r>
      <w:r>
        <w:rPr>
          <w:rFonts w:ascii="Times New Roman" w:hAnsi="Times New Roman"/>
          <w:color w:val="000000"/>
          <w:sz w:val="28"/>
          <w:szCs w:val="28"/>
          <w:lang w:val="vi-VN"/>
        </w:rPr>
        <w:t xml:space="preserve">chủ đầu tư xây dựng hạ tầng kỹ thuật cụm công nghiệp </w:t>
      </w:r>
      <w:r>
        <w:rPr>
          <w:rFonts w:ascii="Times New Roman" w:hAnsi="Times New Roman"/>
          <w:color w:val="000000" w:themeColor="text1"/>
          <w:sz w:val="28"/>
          <w:szCs w:val="28"/>
        </w:rPr>
        <w:t>có nhu cầu.</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IV. BỐ CỤC VÀ NỘI DUNG CHỦ YẾU CỦA DỰ THẢO.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Dự thảo Quyết định gồm 11 Điều và 01 Phụ lục kèm theo, cụ thể:</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1. Dự thảo Quyết định</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1. Phạm vi điều chỉnh</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2. Đối tượng áp dụng</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 xml:space="preserve">Điều </w:t>
      </w:r>
      <w:r>
        <w:rPr>
          <w:rFonts w:ascii="Times New Roman" w:hAnsi="Times New Roman"/>
          <w:bCs/>
          <w:i/>
          <w:color w:val="000000" w:themeColor="text1"/>
          <w:sz w:val="28"/>
          <w:szCs w:val="28"/>
        </w:rPr>
        <w:t>3. Xác định diện tích đất dành cho các đối tượng được ưu tiên</w:t>
      </w:r>
      <w:r>
        <w:rPr>
          <w:rFonts w:ascii="Times New Roman" w:hAnsi="Times New Roman"/>
          <w:i/>
          <w:color w:val="000000" w:themeColor="text1"/>
          <w:sz w:val="28"/>
          <w:szCs w:val="28"/>
        </w:rPr>
        <w:t xml:space="preserve"> </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4. Tiêu chí hỗ trợ</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5. Nội dung và định mức hỗ trợ</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6. Điều kiện hỗ trợ</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7. Hồ sơ đề nghị hỗ trợ</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8. Trình tự, thủ tục thực hiện</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9. Thực hiện hỗ trợ, thanh toán, quyết</w:t>
      </w:r>
      <w:r>
        <w:rPr>
          <w:rFonts w:ascii="Times New Roman" w:hAnsi="Times New Roman"/>
          <w:bCs/>
          <w:i/>
          <w:color w:val="000000" w:themeColor="text1"/>
          <w:sz w:val="28"/>
          <w:szCs w:val="28"/>
        </w:rPr>
        <w:t xml:space="preserve"> toán và thu hồi kinh phí hỗ trợ</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10. Trách nhiệm của các cơ quan, đơn vị</w:t>
      </w:r>
    </w:p>
    <w:p w:rsidR="00876277" w:rsidRDefault="00BB0D14">
      <w:pPr>
        <w:spacing w:after="120"/>
        <w:ind w:firstLine="720"/>
        <w:jc w:val="both"/>
        <w:rPr>
          <w:rFonts w:ascii="Times New Roman" w:hAnsi="Times New Roman"/>
          <w:i/>
          <w:color w:val="000000" w:themeColor="text1"/>
          <w:sz w:val="28"/>
          <w:szCs w:val="28"/>
        </w:rPr>
      </w:pPr>
      <w:r>
        <w:rPr>
          <w:rFonts w:ascii="Times New Roman" w:hAnsi="Times New Roman"/>
          <w:bCs/>
          <w:i/>
          <w:color w:val="000000" w:themeColor="text1"/>
          <w:sz w:val="28"/>
          <w:szCs w:val="28"/>
        </w:rPr>
        <w:t>Điều 11. Điều khoản chuyển tiếp và hiệu lực thi hành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 Phụ lục kèm theo Quyết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2.1. Bố cục.</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Phụ lục gồm 05 mục:</w:t>
      </w:r>
    </w:p>
    <w:p w:rsidR="00876277" w:rsidRDefault="00BB0D14">
      <w:pPr>
        <w:spacing w:after="120"/>
        <w:ind w:firstLine="720"/>
        <w:jc w:val="both"/>
        <w:rPr>
          <w:rFonts w:ascii="Times New Roman" w:hAnsi="Times New Roman"/>
          <w:bCs/>
          <w:i/>
          <w:color w:val="000000" w:themeColor="text1"/>
          <w:sz w:val="28"/>
          <w:szCs w:val="28"/>
        </w:rPr>
      </w:pPr>
      <w:r>
        <w:rPr>
          <w:rFonts w:ascii="Times New Roman" w:hAnsi="Times New Roman"/>
          <w:bCs/>
          <w:i/>
          <w:color w:val="000000" w:themeColor="text1"/>
          <w:sz w:val="28"/>
          <w:szCs w:val="28"/>
        </w:rPr>
        <w:t>Mục I. Xác định diện tích đất dành cho đối tượng ưu tiên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Quy</w:t>
      </w:r>
      <w:r>
        <w:rPr>
          <w:rFonts w:ascii="Times New Roman" w:hAnsi="Times New Roman"/>
          <w:color w:val="000000" w:themeColor="text1"/>
          <w:sz w:val="28"/>
          <w:szCs w:val="28"/>
        </w:rPr>
        <w:t xml:space="preserve"> định nguyên tắc, căn cứ và tiêu chí xác định diện tích đất dành cho doanh nghiệp công nghệ cao thuộc khu vực kinh tế tư nhân, doanh nghiệp nhỏ và vừa, doanh nghiệp khởi nghiệp sáng tạo trong cụm công nghiệp.</w:t>
      </w:r>
    </w:p>
    <w:p w:rsidR="00876277" w:rsidRDefault="00BB0D14">
      <w:pPr>
        <w:spacing w:after="120"/>
        <w:ind w:firstLine="720"/>
        <w:jc w:val="both"/>
        <w:rPr>
          <w:rFonts w:ascii="Times New Roman" w:hAnsi="Times New Roman"/>
          <w:bCs/>
          <w:i/>
          <w:color w:val="000000" w:themeColor="text1"/>
          <w:sz w:val="28"/>
          <w:szCs w:val="28"/>
        </w:rPr>
      </w:pPr>
      <w:r>
        <w:rPr>
          <w:rFonts w:ascii="Times New Roman" w:hAnsi="Times New Roman"/>
          <w:bCs/>
          <w:i/>
          <w:color w:val="000000" w:themeColor="text1"/>
          <w:sz w:val="28"/>
          <w:szCs w:val="28"/>
        </w:rPr>
        <w:t>Mục II. Xác định phần hạ tầng được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Quy đ</w:t>
      </w:r>
      <w:r>
        <w:rPr>
          <w:rFonts w:ascii="Times New Roman" w:hAnsi="Times New Roman"/>
          <w:color w:val="000000" w:themeColor="text1"/>
          <w:sz w:val="28"/>
          <w:szCs w:val="28"/>
        </w:rPr>
        <w:t>ịnh phạm vi các hạng mục hạ tầng kỹ thuật được hỗ trợ và nguyên tắc phân bổ chi phí đối với các công trình hạ tầng kỹ thuật dùng chung cho toàn bộ hoặc nhiều khu vực trong cụm công nghiệp.</w:t>
      </w:r>
    </w:p>
    <w:p w:rsidR="00876277" w:rsidRDefault="00BB0D14">
      <w:pPr>
        <w:spacing w:after="120"/>
        <w:ind w:firstLine="720"/>
        <w:jc w:val="both"/>
        <w:rPr>
          <w:rFonts w:ascii="Times New Roman" w:hAnsi="Times New Roman"/>
          <w:bCs/>
          <w:i/>
          <w:color w:val="000000" w:themeColor="text1"/>
          <w:sz w:val="28"/>
          <w:szCs w:val="28"/>
        </w:rPr>
      </w:pPr>
      <w:r>
        <w:rPr>
          <w:rFonts w:ascii="Times New Roman" w:hAnsi="Times New Roman"/>
          <w:bCs/>
          <w:i/>
          <w:color w:val="000000" w:themeColor="text1"/>
          <w:sz w:val="28"/>
          <w:szCs w:val="28"/>
        </w:rPr>
        <w:t>Mục III. Mức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Quy định tỷ lệ hỗ trợ 50%; phương pháp xác định</w:t>
      </w:r>
      <w:r>
        <w:rPr>
          <w:rFonts w:ascii="Times New Roman" w:hAnsi="Times New Roman"/>
          <w:color w:val="000000" w:themeColor="text1"/>
          <w:sz w:val="28"/>
          <w:szCs w:val="28"/>
        </w:rPr>
        <w:t xml:space="preserve"> mức hỗ trợ bình quân/01 ha; phương pháp xác định mức hỗ trợ theo diện tích thực tế được hỗ trợ; mức hỗ trợ tối đa 10.000 triệu đồng/cụm công nghiệp và phương pháp xác định mức hỗ trợ cụ thể.</w:t>
      </w:r>
    </w:p>
    <w:p w:rsidR="00876277" w:rsidRDefault="00BB0D14">
      <w:pPr>
        <w:spacing w:after="120"/>
        <w:ind w:firstLine="720"/>
        <w:jc w:val="both"/>
        <w:rPr>
          <w:rFonts w:ascii="Times New Roman" w:hAnsi="Times New Roman"/>
          <w:bCs/>
          <w:i/>
          <w:color w:val="000000" w:themeColor="text1"/>
          <w:sz w:val="28"/>
          <w:szCs w:val="28"/>
        </w:rPr>
      </w:pPr>
      <w:r>
        <w:rPr>
          <w:rFonts w:ascii="Times New Roman" w:hAnsi="Times New Roman"/>
          <w:bCs/>
          <w:i/>
          <w:color w:val="000000" w:themeColor="text1"/>
          <w:sz w:val="28"/>
          <w:szCs w:val="28"/>
        </w:rPr>
        <w:t>Mục IV. Xác định chi phí làm căn cứ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Quy định nguyên tắc x</w:t>
      </w:r>
      <w:r>
        <w:rPr>
          <w:rFonts w:ascii="Times New Roman" w:hAnsi="Times New Roman"/>
          <w:color w:val="000000" w:themeColor="text1"/>
          <w:sz w:val="28"/>
          <w:szCs w:val="28"/>
        </w:rPr>
        <w:t>ác định chi phí đầu tư thực tế làm căn cứ hỗ trợ; chi phí tương ứng với khối lượng thực tế hoàn thành, được nghiệm thu, có đầy đủ hồ sơ, chứng từ hợp pháp và các khoản chi phí không được tính vào chi phí làm căn cứ hỗ trợ.</w:t>
      </w:r>
    </w:p>
    <w:p w:rsidR="00876277" w:rsidRDefault="00BB0D14">
      <w:pPr>
        <w:spacing w:after="120"/>
        <w:ind w:firstLine="720"/>
        <w:jc w:val="both"/>
        <w:rPr>
          <w:rFonts w:ascii="Times New Roman" w:hAnsi="Times New Roman"/>
          <w:bCs/>
          <w:i/>
          <w:color w:val="000000" w:themeColor="text1"/>
          <w:sz w:val="28"/>
          <w:szCs w:val="28"/>
        </w:rPr>
      </w:pPr>
      <w:r>
        <w:rPr>
          <w:rFonts w:ascii="Times New Roman" w:hAnsi="Times New Roman"/>
          <w:bCs/>
          <w:i/>
          <w:color w:val="000000" w:themeColor="text1"/>
          <w:sz w:val="28"/>
          <w:szCs w:val="28"/>
        </w:rPr>
        <w:t>Mục V. Bảng xác định mức hỗ trợ c</w:t>
      </w:r>
      <w:r>
        <w:rPr>
          <w:rFonts w:ascii="Times New Roman" w:hAnsi="Times New Roman"/>
          <w:bCs/>
          <w:i/>
          <w:color w:val="000000" w:themeColor="text1"/>
          <w:sz w:val="28"/>
          <w:szCs w:val="28"/>
        </w:rPr>
        <w:t>ụ thể</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Quy định bảng chỉ tiêu làm cơ sở xác định diện tích, chi phí đầu tư, mức hỗ trợ bình quân/01 ha, mức hỗ trợ theo diện tích và mức kinh phí hỗ trợ cụ thể trình Ủy ban nhân dân tỉnh quyết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3. Nội dung cơ bản của dự thảo.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Dự thảo Quyết định và Phụ </w:t>
      </w:r>
      <w:r>
        <w:rPr>
          <w:rFonts w:ascii="Times New Roman" w:hAnsi="Times New Roman"/>
          <w:color w:val="000000" w:themeColor="text1"/>
          <w:sz w:val="28"/>
          <w:szCs w:val="28"/>
        </w:rPr>
        <w:t>lục được xây dựng theo hướng quy định cụ thể các nội dung thuộc thẩm quyền của Ủy ban nhân dân tỉnh để tổ chức thực hiện chính sách hỗ trợ tiếp cận đất đai, mặt bằng sản xuất kinh doanh trong cụm công nghiệp trên địa bàn tỉnh, trong đó tập trung vào các nh</w:t>
      </w:r>
      <w:r>
        <w:rPr>
          <w:rFonts w:ascii="Times New Roman" w:hAnsi="Times New Roman"/>
          <w:color w:val="000000" w:themeColor="text1"/>
          <w:sz w:val="28"/>
          <w:szCs w:val="28"/>
        </w:rPr>
        <w:t>óm nội dung chủ yếu sau: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nguyên tắc xác định diện tích đất dành cho đối tượng ưu tiên:</w:t>
      </w:r>
      <w:r>
        <w:rPr>
          <w:rFonts w:ascii="Times New Roman" w:hAnsi="Times New Roman"/>
          <w:color w:val="000000" w:themeColor="text1"/>
          <w:sz w:val="28"/>
          <w:szCs w:val="28"/>
        </w:rPr>
        <w:t xml:space="preserve"> Xác định rõ căn cứ, tiêu chí và phương pháp rà soát diện tích đất dành cho doanh nghiệp công nghệ cao thuộc khu vực kinh tế tư nhân, doanh nghiệp nhỏ và vừa, doanh nghiệp khởi nghiệp sáng tạo; phân biệt trường hợp cụm công nghiệp được thành lập, mở rộng t</w:t>
      </w:r>
      <w:r>
        <w:rPr>
          <w:rFonts w:ascii="Times New Roman" w:hAnsi="Times New Roman"/>
          <w:color w:val="000000" w:themeColor="text1"/>
          <w:sz w:val="28"/>
          <w:szCs w:val="28"/>
        </w:rPr>
        <w:t>rước và sau thời điểm Nghị định số 303/2026/NĐ-CP có hiệu lực.</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diện tích đất thực tế được hưởng chính sách:</w:t>
      </w:r>
      <w:r>
        <w:rPr>
          <w:rFonts w:ascii="Times New Roman" w:hAnsi="Times New Roman"/>
          <w:color w:val="000000" w:themeColor="text1"/>
          <w:sz w:val="28"/>
          <w:szCs w:val="28"/>
        </w:rPr>
        <w:t xml:space="preserve"> Xác định theo diện tích đất thực tế được các đối tượng được ưu tiên thuê lại trong phạm vi diện tích đã được xác định dành cho đối tượng ưu tiê</w:t>
      </w:r>
      <w:r>
        <w:rPr>
          <w:rFonts w:ascii="Times New Roman" w:hAnsi="Times New Roman"/>
          <w:color w:val="000000" w:themeColor="text1"/>
          <w:sz w:val="28"/>
          <w:szCs w:val="28"/>
        </w:rPr>
        <w:t>n, căn cứ hợp đồng thuê lại đất và hồ sơ, tài liệu hợp pháp có liên quan; bảo đảm diện tích được hỗ trợ thuộc phần đất đã được đầu tư hạ tầng kỹ thuật và đáp ứng đầy đủ điều kiện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phạm vi hạ tầng được hỗ trợ:</w:t>
      </w:r>
      <w:r>
        <w:rPr>
          <w:rFonts w:ascii="Times New Roman" w:hAnsi="Times New Roman"/>
          <w:color w:val="000000" w:themeColor="text1"/>
          <w:sz w:val="28"/>
          <w:szCs w:val="28"/>
        </w:rPr>
        <w:t xml:space="preserve"> Xác định các hạng mục hạ tầng kỹ th</w:t>
      </w:r>
      <w:r>
        <w:rPr>
          <w:rFonts w:ascii="Times New Roman" w:hAnsi="Times New Roman"/>
          <w:color w:val="000000" w:themeColor="text1"/>
          <w:sz w:val="28"/>
          <w:szCs w:val="28"/>
        </w:rPr>
        <w:t>uật dùng chung phục vụ diện tích đất dành cho đối tượng ưu tiên, gồm giao thông, cấp điện, cấp nước, thoát nước, thu gom và xử lý nước thải, thông tin liên lạc và các công trình hạ tầng kỹ thuật khác theo quy định.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tỷ lệ và định mức hỗ trợ:</w:t>
      </w:r>
      <w:r>
        <w:rPr>
          <w:rFonts w:ascii="Times New Roman" w:hAnsi="Times New Roman"/>
          <w:color w:val="000000" w:themeColor="text1"/>
          <w:sz w:val="28"/>
          <w:szCs w:val="28"/>
        </w:rPr>
        <w:t xml:space="preserve"> Ngân sách </w:t>
      </w:r>
      <w:r>
        <w:rPr>
          <w:rFonts w:ascii="Times New Roman" w:hAnsi="Times New Roman"/>
          <w:color w:val="000000" w:themeColor="text1"/>
          <w:sz w:val="28"/>
          <w:szCs w:val="28"/>
        </w:rPr>
        <w:t>tỉnh hỗ trợ 50% chi phí đầu tư các hạng mục hạ tầng kỹ thuật thuộc phạm vi hỗ trợ; tổng mức hỗ trợ đối với mỗi cụm công nghiệp không quá 10.000 triệu đồng.</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phương pháp xác định mức hỗ trợ:</w:t>
      </w:r>
      <w:r>
        <w:rPr>
          <w:rFonts w:ascii="Times New Roman" w:hAnsi="Times New Roman"/>
          <w:color w:val="000000" w:themeColor="text1"/>
          <w:sz w:val="28"/>
          <w:szCs w:val="28"/>
        </w:rPr>
        <w:t xml:space="preserve"> Xác định mức hỗ trợ bình quân/01 ha trên cơ sở 50% chi phí đầu tư hạ tầng kỹ thuật thuộc phạm vi hỗ trợ và diện tích đất công nghiệp đã được đầu tư xây dựng hạ tầng kỹ thuật thuộc </w:t>
      </w:r>
      <w:r>
        <w:rPr>
          <w:rFonts w:ascii="Times New Roman" w:hAnsi="Times New Roman"/>
          <w:color w:val="000000" w:themeColor="text1"/>
          <w:sz w:val="28"/>
          <w:szCs w:val="28"/>
        </w:rPr>
        <w:lastRenderedPageBreak/>
        <w:t>phạm vi phân bổ chi phí; sau đó xác định mức hỗ trợ theo diện tích đất thực</w:t>
      </w:r>
      <w:r>
        <w:rPr>
          <w:rFonts w:ascii="Times New Roman" w:hAnsi="Times New Roman"/>
          <w:color w:val="000000" w:themeColor="text1"/>
          <w:sz w:val="28"/>
          <w:szCs w:val="28"/>
        </w:rPr>
        <w:t xml:space="preserve"> tế đủ điều kiện được hỗ trợ.</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nguyên tắc xác định chi phí:</w:t>
      </w:r>
      <w:r>
        <w:rPr>
          <w:rFonts w:ascii="Times New Roman" w:hAnsi="Times New Roman"/>
          <w:color w:val="000000" w:themeColor="text1"/>
          <w:sz w:val="28"/>
          <w:szCs w:val="28"/>
        </w:rPr>
        <w:t xml:space="preserve"> Chỉ xác định hỗ trợ đối với chi phí thực tế tương ứng với khối lượng đã hoàn thành, được nghiệm thu, có đầy đủ hồ sơ, chứng từ hợp pháp và không vượt dự toán được cấp có thẩm quyền phê duyệt; </w:t>
      </w:r>
      <w:r>
        <w:rPr>
          <w:rFonts w:ascii="Times New Roman" w:hAnsi="Times New Roman"/>
          <w:color w:val="000000" w:themeColor="text1"/>
          <w:sz w:val="28"/>
          <w:szCs w:val="28"/>
        </w:rPr>
        <w:t>không hỗ trợ đối với phần chi phí đã được ngân sách nhà nước hỗ trợ từ chính sách khác.</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hỗ trợ theo giai đoạn:</w:t>
      </w:r>
      <w:r>
        <w:rPr>
          <w:rFonts w:ascii="Times New Roman" w:hAnsi="Times New Roman"/>
          <w:color w:val="000000" w:themeColor="text1"/>
          <w:sz w:val="28"/>
          <w:szCs w:val="28"/>
        </w:rPr>
        <w:t xml:space="preserve"> cho phép xem xét hỗ trợ đối với khối lượng hạ tầng kỹ thuật thực tế đã hoàn thành, được nghiệm thu và đáp ứng điều kiện hỗ trợ đối với dự án</w:t>
      </w:r>
      <w:r>
        <w:rPr>
          <w:rFonts w:ascii="Times New Roman" w:hAnsi="Times New Roman"/>
          <w:color w:val="000000" w:themeColor="text1"/>
          <w:sz w:val="28"/>
          <w:szCs w:val="28"/>
        </w:rPr>
        <w:t xml:space="preserve"> thực hiện theo nhiều giai đoạn.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giảm tiền thuê lại đất:</w:t>
      </w:r>
      <w:r>
        <w:rPr>
          <w:rFonts w:ascii="Times New Roman" w:hAnsi="Times New Roman"/>
          <w:color w:val="000000" w:themeColor="text1"/>
          <w:sz w:val="28"/>
          <w:szCs w:val="28"/>
        </w:rPr>
        <w:t xml:space="preserve"> quy định trách nhiệm của </w:t>
      </w:r>
      <w:r>
        <w:rPr>
          <w:rFonts w:ascii="Times New Roman" w:hAnsi="Times New Roman"/>
          <w:color w:val="000000"/>
          <w:sz w:val="28"/>
          <w:szCs w:val="28"/>
          <w:lang w:val="vi-VN"/>
        </w:rPr>
        <w:t>chủ đầu tư xây dựng hạ tầng kỹ thuật cụm công nghiệp</w:t>
      </w:r>
      <w:r>
        <w:rPr>
          <w:rFonts w:ascii="Times New Roman" w:hAnsi="Times New Roman"/>
          <w:color w:val="000000"/>
          <w:sz w:val="28"/>
          <w:szCs w:val="28"/>
        </w:rPr>
        <w:t xml:space="preserve"> </w:t>
      </w:r>
      <w:r>
        <w:rPr>
          <w:rFonts w:ascii="Times New Roman" w:hAnsi="Times New Roman"/>
          <w:color w:val="000000" w:themeColor="text1"/>
          <w:sz w:val="28"/>
          <w:szCs w:val="28"/>
        </w:rPr>
        <w:t>thực hiện chính sách giảm tiền thuê lại đất đối với các đối tượng được ưu tiên theo Nghị quyết số 198/2025/QH15 và N</w:t>
      </w:r>
      <w:r>
        <w:rPr>
          <w:rFonts w:ascii="Times New Roman" w:hAnsi="Times New Roman"/>
          <w:color w:val="000000" w:themeColor="text1"/>
          <w:sz w:val="28"/>
          <w:szCs w:val="28"/>
        </w:rPr>
        <w:t>ghị định số 20/2026/NĐ-CP; đồng thời quy định trách nhiệm thực hiện hoàn trả khoản hỗ trợ tương ứng theo quy định của pháp luật.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hồ sơ, trình tự, thủ tục:</w:t>
      </w:r>
      <w:r>
        <w:rPr>
          <w:rFonts w:ascii="Times New Roman" w:hAnsi="Times New Roman"/>
          <w:color w:val="000000" w:themeColor="text1"/>
          <w:sz w:val="28"/>
          <w:szCs w:val="28"/>
        </w:rPr>
        <w:t xml:space="preserve"> Quy định cụ thể thành phần hồ sơ, việc đăng ký nhu cầu hỗ trợ, tiếp nhận và thẩm định hồ sơ, trì</w:t>
      </w:r>
      <w:r>
        <w:rPr>
          <w:rFonts w:ascii="Times New Roman" w:hAnsi="Times New Roman"/>
          <w:color w:val="000000" w:themeColor="text1"/>
          <w:sz w:val="28"/>
          <w:szCs w:val="28"/>
        </w:rPr>
        <w:t>nh Ủy ban nhân dân tỉnh quyết định mức hỗ trợ, thanh toán, giải ngân và quyết toán kinh phí.</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trách nhiệm phối hợp:</w:t>
      </w:r>
      <w:r>
        <w:rPr>
          <w:rFonts w:ascii="Times New Roman" w:hAnsi="Times New Roman"/>
          <w:color w:val="000000" w:themeColor="text1"/>
          <w:sz w:val="28"/>
          <w:szCs w:val="28"/>
        </w:rPr>
        <w:t xml:space="preserve"> Xác định Sở Công Thương là cơ quan đầu mối chủ trì tiếp nhận, kiểm tra, thẩm định và tham mưu hỗ trợ; phân định trách nhiệm phối hợp của</w:t>
      </w:r>
      <w:r>
        <w:rPr>
          <w:rFonts w:ascii="Times New Roman" w:hAnsi="Times New Roman"/>
          <w:color w:val="000000" w:themeColor="text1"/>
          <w:sz w:val="28"/>
          <w:szCs w:val="28"/>
        </w:rPr>
        <w:t xml:space="preserve"> Sở Tài chính, Sở Xây dựng, Sở Nông nghiệp và Môi trường, Ủy ban nhân dân cấp xã và </w:t>
      </w:r>
      <w:r>
        <w:rPr>
          <w:rFonts w:ascii="Times New Roman" w:hAnsi="Times New Roman"/>
          <w:color w:val="000000"/>
          <w:sz w:val="28"/>
          <w:szCs w:val="28"/>
          <w:lang w:val="vi-VN"/>
        </w:rPr>
        <w:t xml:space="preserve">chủ đầu tư xây dựng hạ tầng kỹ thuật cụm công nghiệp </w:t>
      </w:r>
      <w:r>
        <w:rPr>
          <w:rFonts w:ascii="Times New Roman" w:hAnsi="Times New Roman"/>
          <w:color w:val="000000" w:themeColor="text1"/>
          <w:sz w:val="28"/>
          <w:szCs w:val="28"/>
        </w:rPr>
        <w:t>theo chức năng, nhiệm vụ được giao.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
          <w:bCs/>
          <w:color w:val="000000" w:themeColor="text1"/>
          <w:sz w:val="28"/>
          <w:szCs w:val="28"/>
        </w:rPr>
        <w:t>- Về kiểm tra, thu hồi kinh phí:</w:t>
      </w:r>
      <w:r>
        <w:rPr>
          <w:rFonts w:ascii="Times New Roman" w:hAnsi="Times New Roman"/>
          <w:color w:val="000000" w:themeColor="text1"/>
          <w:sz w:val="28"/>
          <w:szCs w:val="28"/>
        </w:rPr>
        <w:t xml:space="preserve"> Quy định trách nhiệm kiểm tra việc sử dụng kinh ph</w:t>
      </w:r>
      <w:r>
        <w:rPr>
          <w:rFonts w:ascii="Times New Roman" w:hAnsi="Times New Roman"/>
          <w:color w:val="000000" w:themeColor="text1"/>
          <w:sz w:val="28"/>
          <w:szCs w:val="28"/>
        </w:rPr>
        <w:t>í, duy trì diện tích đất dành cho đối tượng ưu tiên và thu hồi toàn bộ hoặc một phần kinh phí hỗ trợ trong trường hợp vi phạm điều kiện, mục đích hoặc nội dung hỗ trợ theo quy định.</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V. NHỮNG NỘI DUNG MỚI, NỘI DUNG QUY ĐỊNH CỤ THỂ CHỦ YẾU.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Do chính sách hỗ </w:t>
      </w:r>
      <w:r>
        <w:rPr>
          <w:rFonts w:ascii="Times New Roman" w:hAnsi="Times New Roman"/>
          <w:color w:val="000000" w:themeColor="text1"/>
          <w:sz w:val="28"/>
          <w:szCs w:val="28"/>
        </w:rPr>
        <w:t>trợ tiếp cận đất đai, mặt bằng sản xuất kinh doanh trong cụm công nghiệp được cụ thể hóa trên cơ sở các quy định mới của Nghị quyết số 198/2025/QH15, Nghị định số 20/2026/NĐ-CP và Nghị định số 303/2026/NĐ-CP, dự thảo Quyết định tập trung quy định cụ thể cá</w:t>
      </w:r>
      <w:r>
        <w:rPr>
          <w:rFonts w:ascii="Times New Roman" w:hAnsi="Times New Roman"/>
          <w:color w:val="000000" w:themeColor="text1"/>
          <w:sz w:val="28"/>
          <w:szCs w:val="28"/>
        </w:rPr>
        <w:t>c nội dung sau: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1.</w:t>
      </w:r>
      <w:r>
        <w:rPr>
          <w:rFonts w:ascii="Times New Roman" w:hAnsi="Times New Roman"/>
          <w:color w:val="000000" w:themeColor="text1"/>
          <w:sz w:val="28"/>
          <w:szCs w:val="28"/>
        </w:rPr>
        <w:t xml:space="preserve"> Cụ thể hóa trách nhiệm của Ủy ban nhân dân tỉnh trong việc quy định nguyên tắc, tiêu chí, định mức, hồ sơ, trình tự, thủ tục hỗ trợ đầu tư xây dựng hạ tầng kỹ thuật cụm công nghiệp từ ngân sách địa phương.</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2.</w:t>
      </w:r>
      <w:r>
        <w:rPr>
          <w:rFonts w:ascii="Times New Roman" w:hAnsi="Times New Roman"/>
          <w:color w:val="000000" w:themeColor="text1"/>
          <w:sz w:val="28"/>
          <w:szCs w:val="28"/>
        </w:rPr>
        <w:t xml:space="preserve"> Quy định nguyên tắc, tiêu ch</w:t>
      </w:r>
      <w:r>
        <w:rPr>
          <w:rFonts w:ascii="Times New Roman" w:hAnsi="Times New Roman"/>
          <w:color w:val="000000" w:themeColor="text1"/>
          <w:sz w:val="28"/>
          <w:szCs w:val="28"/>
        </w:rPr>
        <w:t>í xác định diện tích đất dành cho doanh nghiệp công nghệ cao thuộc khu vực kinh tế tư nhân, doanh nghiệp nhỏ và vừa, doanh nghiệp khởi nghiệp sáng tạo trong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lastRenderedPageBreak/>
        <w:t>3.</w:t>
      </w:r>
      <w:r>
        <w:rPr>
          <w:rFonts w:ascii="Times New Roman" w:hAnsi="Times New Roman"/>
          <w:color w:val="000000" w:themeColor="text1"/>
          <w:sz w:val="28"/>
          <w:szCs w:val="28"/>
        </w:rPr>
        <w:t xml:space="preserve"> Bổ sung cơ chế rà soát, xác định diện tích đất dành cho đối tượng ưu tiên đối v</w:t>
      </w:r>
      <w:r>
        <w:rPr>
          <w:rFonts w:ascii="Times New Roman" w:hAnsi="Times New Roman"/>
          <w:color w:val="000000" w:themeColor="text1"/>
          <w:sz w:val="28"/>
          <w:szCs w:val="28"/>
        </w:rPr>
        <w:t>ới các cụm công nghiệp đã được thành lập, mở rộng trước ngày Nghị định số 303/2026/NĐ-CP có hiệu lực, phù hợp với quỹ đất, hiện trạng hạ tầng và điều kiện thực tế của từng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4.</w:t>
      </w:r>
      <w:r>
        <w:rPr>
          <w:rFonts w:ascii="Times New Roman" w:hAnsi="Times New Roman"/>
          <w:color w:val="000000" w:themeColor="text1"/>
          <w:sz w:val="28"/>
          <w:szCs w:val="28"/>
        </w:rPr>
        <w:t xml:space="preserve"> Quy định cụ thể phạm vi các hạng mục hạ tầng kỹ thuật được hỗ trợ và nguyên tắc phân bổ chi phí đối với công trình hạ tầng kỹ thuật dùng chung.</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5.</w:t>
      </w:r>
      <w:r>
        <w:rPr>
          <w:rFonts w:ascii="Times New Roman" w:hAnsi="Times New Roman"/>
          <w:color w:val="000000" w:themeColor="text1"/>
          <w:sz w:val="28"/>
          <w:szCs w:val="28"/>
        </w:rPr>
        <w:t xml:space="preserve"> Quy định tỷ lệ hỗ trợ </w:t>
      </w:r>
      <w:r>
        <w:rPr>
          <w:rFonts w:ascii="Times New Roman" w:hAnsi="Times New Roman"/>
          <w:bCs/>
          <w:color w:val="000000" w:themeColor="text1"/>
          <w:sz w:val="28"/>
          <w:szCs w:val="28"/>
        </w:rPr>
        <w:t>50% chi phí đầu tư các hạng mục hạ tầng kỹ thuật thuộc phạm vi hỗ trợ</w:t>
      </w:r>
      <w:r>
        <w:rPr>
          <w:rFonts w:ascii="Times New Roman" w:hAnsi="Times New Roman"/>
          <w:color w:val="000000" w:themeColor="text1"/>
          <w:sz w:val="28"/>
          <w:szCs w:val="28"/>
        </w:rPr>
        <w:t>, gắn với khối lư</w:t>
      </w:r>
      <w:r>
        <w:rPr>
          <w:rFonts w:ascii="Times New Roman" w:hAnsi="Times New Roman"/>
          <w:color w:val="000000" w:themeColor="text1"/>
          <w:sz w:val="28"/>
          <w:szCs w:val="28"/>
        </w:rPr>
        <w:t>ợng thực tế hoàn thành, được nghiệm thu và có đầy đủ hồ sơ, chứng từ hợp pháp.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6.</w:t>
      </w:r>
      <w:r>
        <w:rPr>
          <w:rFonts w:ascii="Times New Roman" w:hAnsi="Times New Roman"/>
          <w:color w:val="000000" w:themeColor="text1"/>
          <w:sz w:val="28"/>
          <w:szCs w:val="28"/>
        </w:rPr>
        <w:t xml:space="preserve"> Quy định phương pháp xác định mức hỗ trợ bình quân/01 ha và mức hỗ trợ theo diện tích đất thực tế đủ điều kiện hỗ trợ; đồng thời quy định mức hỗ trợ tối đa </w:t>
      </w:r>
      <w:r>
        <w:rPr>
          <w:rFonts w:ascii="Times New Roman" w:hAnsi="Times New Roman"/>
          <w:bCs/>
          <w:color w:val="000000" w:themeColor="text1"/>
          <w:sz w:val="28"/>
          <w:szCs w:val="28"/>
        </w:rPr>
        <w:t>10.000 triệu đồng/</w:t>
      </w:r>
      <w:r>
        <w:rPr>
          <w:rFonts w:ascii="Times New Roman" w:hAnsi="Times New Roman"/>
          <w:bCs/>
          <w:color w:val="000000" w:themeColor="text1"/>
          <w:sz w:val="28"/>
          <w:szCs w:val="28"/>
        </w:rPr>
        <w:t>cụm công nghiệp</w:t>
      </w:r>
      <w:r>
        <w:rPr>
          <w:rFonts w:ascii="Times New Roman" w:hAnsi="Times New Roman"/>
          <w:color w:val="000000" w:themeColor="text1"/>
          <w:sz w:val="28"/>
          <w:szCs w:val="28"/>
        </w:rPr>
        <w: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7.</w:t>
      </w:r>
      <w:r>
        <w:rPr>
          <w:rFonts w:ascii="Times New Roman" w:hAnsi="Times New Roman"/>
          <w:color w:val="000000" w:themeColor="text1"/>
          <w:sz w:val="28"/>
          <w:szCs w:val="28"/>
        </w:rPr>
        <w:t xml:space="preserve"> Quy định cơ chế hỗ trợ theo giai đoạn đối với dự án đầu tư xây dựng kết cấu hạ tầng cụm công nghiệp thực hiện theo nhiều giai đoạn, gắn hỗ trợ với khối lượng thực tế hoàn thành và được nghiệm thu.</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8.</w:t>
      </w:r>
      <w:r>
        <w:rPr>
          <w:rFonts w:ascii="Times New Roman" w:hAnsi="Times New Roman"/>
          <w:color w:val="000000" w:themeColor="text1"/>
          <w:sz w:val="28"/>
          <w:szCs w:val="28"/>
        </w:rPr>
        <w:t xml:space="preserve"> Quy định cụ thể hồ sơ, trình tự, thủ</w:t>
      </w:r>
      <w:r>
        <w:rPr>
          <w:rFonts w:ascii="Times New Roman" w:hAnsi="Times New Roman"/>
          <w:color w:val="000000" w:themeColor="text1"/>
          <w:sz w:val="28"/>
          <w:szCs w:val="28"/>
        </w:rPr>
        <w:t xml:space="preserve"> tục đăng ký nhu cầu, lập dự toán, tiếp nhận, thẩm định, quyết định hỗ trợ, thanh toán, giải ngân và quyết toán kinh phí.</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9.</w:t>
      </w:r>
      <w:r>
        <w:rPr>
          <w:rFonts w:ascii="Times New Roman" w:hAnsi="Times New Roman"/>
          <w:color w:val="000000" w:themeColor="text1"/>
          <w:sz w:val="28"/>
          <w:szCs w:val="28"/>
        </w:rPr>
        <w:t xml:space="preserve"> Quy định trách nhiệm của các sở, ngành, Ủy ban nhân dân cấp xã và </w:t>
      </w:r>
      <w:r>
        <w:rPr>
          <w:rFonts w:ascii="Times New Roman" w:hAnsi="Times New Roman"/>
          <w:color w:val="000000"/>
          <w:sz w:val="28"/>
          <w:szCs w:val="28"/>
          <w:lang w:val="vi-VN"/>
        </w:rPr>
        <w:t>chủ đầu tư xây dựng hạ tầng kỹ thuật cụm công nghiệp</w:t>
      </w:r>
      <w:r>
        <w:rPr>
          <w:rFonts w:ascii="Times New Roman" w:hAnsi="Times New Roman"/>
          <w:color w:val="000000"/>
          <w:sz w:val="28"/>
          <w:szCs w:val="28"/>
        </w:rPr>
        <w:t xml:space="preserve"> </w:t>
      </w:r>
      <w:r>
        <w:rPr>
          <w:rFonts w:ascii="Times New Roman" w:hAnsi="Times New Roman"/>
          <w:color w:val="000000" w:themeColor="text1"/>
          <w:sz w:val="28"/>
          <w:szCs w:val="28"/>
        </w:rPr>
        <w:t>theo hướng x</w:t>
      </w:r>
      <w:r>
        <w:rPr>
          <w:rFonts w:ascii="Times New Roman" w:hAnsi="Times New Roman"/>
          <w:color w:val="000000" w:themeColor="text1"/>
          <w:sz w:val="28"/>
          <w:szCs w:val="28"/>
        </w:rPr>
        <w:t>ác định rõ cơ quan chủ trì, cơ quan phối hợp và nội dung trách nhiệm của từng cơ quan.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10.</w:t>
      </w:r>
      <w:r>
        <w:rPr>
          <w:rFonts w:ascii="Times New Roman" w:hAnsi="Times New Roman"/>
          <w:color w:val="000000" w:themeColor="text1"/>
          <w:sz w:val="28"/>
          <w:szCs w:val="28"/>
        </w:rPr>
        <w:t xml:space="preserve"> Quy định việc kiểm tra, giám sát, thu hồi kinh phí hỗ trợ trong trường hợp sử dụng kinh phí không đúng quy định hoặc không thực hiện đầy đủ trách nhiệm gắn với chính</w:t>
      </w:r>
      <w:r>
        <w:rPr>
          <w:rFonts w:ascii="Times New Roman" w:hAnsi="Times New Roman"/>
          <w:color w:val="000000" w:themeColor="text1"/>
          <w:sz w:val="28"/>
          <w:szCs w:val="28"/>
        </w:rPr>
        <w:t xml:space="preserve"> sách hỗ trợ.</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VI. VỀ THỦ TỤC HÀNH CHÍNH, NGUỒN LỰC VÀ ĐIỀU KIỆN BẢO ĐẢM THI HÀNH.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1. Về thủ tục hành chính.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Dự thảo Quyết định quy định hồ sơ, trình tự, thủ tục thực hiện chính sách </w:t>
      </w:r>
      <w:r>
        <w:rPr>
          <w:rFonts w:ascii="Times New Roman" w:eastAsia="Calibri" w:hAnsi="Times New Roman"/>
          <w:color w:val="000000" w:themeColor="text1"/>
          <w:kern w:val="2"/>
          <w:sz w:val="28"/>
          <w:szCs w:val="28"/>
          <w14:ligatures w14:val="standardContextual"/>
        </w:rPr>
        <w:t>chính sách h</w:t>
      </w:r>
      <w:r>
        <w:rPr>
          <w:rFonts w:ascii="Times New Roman" w:eastAsia="Calibri" w:hAnsi="Times New Roman"/>
          <w:color w:val="000000" w:themeColor="text1"/>
          <w:kern w:val="2"/>
          <w:sz w:val="28"/>
          <w:szCs w:val="28"/>
          <w14:ligatures w14:val="standardContextual"/>
        </w:rPr>
        <w:t>ỗ</w:t>
      </w:r>
      <w:r>
        <w:rPr>
          <w:rFonts w:ascii="Times New Roman" w:eastAsia="Calibri" w:hAnsi="Times New Roman"/>
          <w:color w:val="000000" w:themeColor="text1"/>
          <w:kern w:val="2"/>
          <w:sz w:val="28"/>
          <w:szCs w:val="28"/>
          <w14:ligatures w14:val="standardContextual"/>
        </w:rPr>
        <w:t xml:space="preserve"> tr</w:t>
      </w:r>
      <w:r>
        <w:rPr>
          <w:rFonts w:ascii="Times New Roman" w:eastAsia="Calibri" w:hAnsi="Times New Roman"/>
          <w:color w:val="000000" w:themeColor="text1"/>
          <w:kern w:val="2"/>
          <w:sz w:val="28"/>
          <w:szCs w:val="28"/>
          <w14:ligatures w14:val="standardContextual"/>
        </w:rPr>
        <w:t>ợ</w:t>
      </w:r>
      <w:r>
        <w:rPr>
          <w:rFonts w:ascii="Times New Roman" w:eastAsia="Calibri" w:hAnsi="Times New Roman"/>
          <w:color w:val="000000" w:themeColor="text1"/>
          <w:kern w:val="2"/>
          <w:sz w:val="28"/>
          <w:szCs w:val="28"/>
          <w14:ligatures w14:val="standardContextual"/>
        </w:rPr>
        <w:t xml:space="preserve"> ti</w:t>
      </w:r>
      <w:r>
        <w:rPr>
          <w:rFonts w:ascii="Times New Roman" w:eastAsia="Calibri" w:hAnsi="Times New Roman"/>
          <w:color w:val="000000" w:themeColor="text1"/>
          <w:kern w:val="2"/>
          <w:sz w:val="28"/>
          <w:szCs w:val="28"/>
          <w14:ligatures w14:val="standardContextual"/>
        </w:rPr>
        <w:t>ế</w:t>
      </w:r>
      <w:r>
        <w:rPr>
          <w:rFonts w:ascii="Times New Roman" w:eastAsia="Calibri" w:hAnsi="Times New Roman"/>
          <w:color w:val="000000" w:themeColor="text1"/>
          <w:kern w:val="2"/>
          <w:sz w:val="28"/>
          <w:szCs w:val="28"/>
          <w14:ligatures w14:val="standardContextual"/>
        </w:rPr>
        <w:t>p c</w:t>
      </w:r>
      <w:r>
        <w:rPr>
          <w:rFonts w:ascii="Times New Roman" w:eastAsia="Calibri" w:hAnsi="Times New Roman"/>
          <w:color w:val="000000" w:themeColor="text1"/>
          <w:kern w:val="2"/>
          <w:sz w:val="28"/>
          <w:szCs w:val="28"/>
          <w14:ligatures w14:val="standardContextual"/>
        </w:rPr>
        <w:t>ậ</w:t>
      </w:r>
      <w:r>
        <w:rPr>
          <w:rFonts w:ascii="Times New Roman" w:eastAsia="Calibri" w:hAnsi="Times New Roman"/>
          <w:color w:val="000000" w:themeColor="text1"/>
          <w:kern w:val="2"/>
          <w:sz w:val="28"/>
          <w:szCs w:val="28"/>
          <w14:ligatures w14:val="standardContextual"/>
        </w:rPr>
        <w:t>n đ</w:t>
      </w:r>
      <w:r>
        <w:rPr>
          <w:rFonts w:ascii="Times New Roman" w:eastAsia="Calibri" w:hAnsi="Times New Roman"/>
          <w:color w:val="000000" w:themeColor="text1"/>
          <w:kern w:val="2"/>
          <w:sz w:val="28"/>
          <w:szCs w:val="28"/>
          <w14:ligatures w14:val="standardContextual"/>
        </w:rPr>
        <w:t>ấ</w:t>
      </w:r>
      <w:r>
        <w:rPr>
          <w:rFonts w:ascii="Times New Roman" w:eastAsia="Calibri" w:hAnsi="Times New Roman"/>
          <w:color w:val="000000" w:themeColor="text1"/>
          <w:kern w:val="2"/>
          <w:sz w:val="28"/>
          <w:szCs w:val="28"/>
          <w14:ligatures w14:val="standardContextual"/>
        </w:rPr>
        <w:t>t đai, m</w:t>
      </w:r>
      <w:r>
        <w:rPr>
          <w:rFonts w:ascii="Times New Roman" w:eastAsia="Calibri" w:hAnsi="Times New Roman"/>
          <w:color w:val="000000" w:themeColor="text1"/>
          <w:kern w:val="2"/>
          <w:sz w:val="28"/>
          <w:szCs w:val="28"/>
          <w14:ligatures w14:val="standardContextual"/>
        </w:rPr>
        <w:t>ặ</w:t>
      </w:r>
      <w:r>
        <w:rPr>
          <w:rFonts w:ascii="Times New Roman" w:eastAsia="Calibri" w:hAnsi="Times New Roman"/>
          <w:color w:val="000000" w:themeColor="text1"/>
          <w:kern w:val="2"/>
          <w:sz w:val="28"/>
          <w:szCs w:val="28"/>
          <w14:ligatures w14:val="standardContextual"/>
        </w:rPr>
        <w:t>t b</w:t>
      </w:r>
      <w:r>
        <w:rPr>
          <w:rFonts w:ascii="Times New Roman" w:eastAsia="Calibri" w:hAnsi="Times New Roman"/>
          <w:color w:val="000000" w:themeColor="text1"/>
          <w:kern w:val="2"/>
          <w:sz w:val="28"/>
          <w:szCs w:val="28"/>
          <w14:ligatures w14:val="standardContextual"/>
        </w:rPr>
        <w:t>ằ</w:t>
      </w:r>
      <w:r>
        <w:rPr>
          <w:rFonts w:ascii="Times New Roman" w:eastAsia="Calibri" w:hAnsi="Times New Roman"/>
          <w:color w:val="000000" w:themeColor="text1"/>
          <w:kern w:val="2"/>
          <w:sz w:val="28"/>
          <w:szCs w:val="28"/>
          <w14:ligatures w14:val="standardContextual"/>
        </w:rPr>
        <w:t>ng s</w:t>
      </w:r>
      <w:r>
        <w:rPr>
          <w:rFonts w:ascii="Times New Roman" w:eastAsia="Calibri" w:hAnsi="Times New Roman"/>
          <w:color w:val="000000" w:themeColor="text1"/>
          <w:kern w:val="2"/>
          <w:sz w:val="28"/>
          <w:szCs w:val="28"/>
          <w14:ligatures w14:val="standardContextual"/>
        </w:rPr>
        <w:t>ả</w:t>
      </w:r>
      <w:r>
        <w:rPr>
          <w:rFonts w:ascii="Times New Roman" w:eastAsia="Calibri" w:hAnsi="Times New Roman"/>
          <w:color w:val="000000" w:themeColor="text1"/>
          <w:kern w:val="2"/>
          <w:sz w:val="28"/>
          <w:szCs w:val="28"/>
          <w14:ligatures w14:val="standardContextual"/>
        </w:rPr>
        <w:t>n xu</w:t>
      </w:r>
      <w:r>
        <w:rPr>
          <w:rFonts w:ascii="Times New Roman" w:eastAsia="Calibri" w:hAnsi="Times New Roman"/>
          <w:color w:val="000000" w:themeColor="text1"/>
          <w:kern w:val="2"/>
          <w:sz w:val="28"/>
          <w:szCs w:val="28"/>
          <w14:ligatures w14:val="standardContextual"/>
        </w:rPr>
        <w:t>ấ</w:t>
      </w:r>
      <w:r>
        <w:rPr>
          <w:rFonts w:ascii="Times New Roman" w:eastAsia="Calibri" w:hAnsi="Times New Roman"/>
          <w:color w:val="000000" w:themeColor="text1"/>
          <w:kern w:val="2"/>
          <w:sz w:val="28"/>
          <w:szCs w:val="28"/>
          <w14:ligatures w14:val="standardContextual"/>
        </w:rPr>
        <w:t>t kinh doanh trong các</w:t>
      </w:r>
      <w:r>
        <w:rPr>
          <w:rFonts w:ascii="Times New Roman" w:eastAsia="Calibri" w:hAnsi="Times New Roman"/>
          <w:color w:val="000000" w:themeColor="text1"/>
          <w:kern w:val="2"/>
          <w:sz w:val="28"/>
          <w:szCs w:val="28"/>
          <w14:ligatures w14:val="standardContextual"/>
        </w:rPr>
        <w:t xml:space="preserve"> c</w:t>
      </w:r>
      <w:r>
        <w:rPr>
          <w:rFonts w:ascii="Times New Roman" w:eastAsia="Calibri" w:hAnsi="Times New Roman"/>
          <w:color w:val="000000" w:themeColor="text1"/>
          <w:kern w:val="2"/>
          <w:sz w:val="28"/>
          <w:szCs w:val="28"/>
          <w14:ligatures w14:val="standardContextual"/>
        </w:rPr>
        <w:t>ụ</w:t>
      </w:r>
      <w:r>
        <w:rPr>
          <w:rFonts w:ascii="Times New Roman" w:eastAsia="Calibri" w:hAnsi="Times New Roman"/>
          <w:color w:val="000000" w:themeColor="text1"/>
          <w:kern w:val="2"/>
          <w:sz w:val="28"/>
          <w:szCs w:val="28"/>
          <w14:ligatures w14:val="standardContextual"/>
        </w:rPr>
        <w:t>m công nghi</w:t>
      </w:r>
      <w:r>
        <w:rPr>
          <w:rFonts w:ascii="Times New Roman" w:eastAsia="Calibri" w:hAnsi="Times New Roman"/>
          <w:color w:val="000000" w:themeColor="text1"/>
          <w:kern w:val="2"/>
          <w:sz w:val="28"/>
          <w:szCs w:val="28"/>
          <w14:ligatures w14:val="standardContextual"/>
        </w:rPr>
        <w:t>ệ</w:t>
      </w:r>
      <w:r>
        <w:rPr>
          <w:rFonts w:ascii="Times New Roman" w:eastAsia="Calibri" w:hAnsi="Times New Roman"/>
          <w:color w:val="000000" w:themeColor="text1"/>
          <w:kern w:val="2"/>
          <w:sz w:val="28"/>
          <w:szCs w:val="28"/>
          <w14:ligatures w14:val="standardContextual"/>
        </w:rPr>
        <w:t>p trên đ</w:t>
      </w:r>
      <w:r>
        <w:rPr>
          <w:rFonts w:ascii="Times New Roman" w:eastAsia="Calibri" w:hAnsi="Times New Roman"/>
          <w:color w:val="000000" w:themeColor="text1"/>
          <w:kern w:val="2"/>
          <w:sz w:val="28"/>
          <w:szCs w:val="28"/>
          <w14:ligatures w14:val="standardContextual"/>
        </w:rPr>
        <w:t>ị</w:t>
      </w:r>
      <w:r>
        <w:rPr>
          <w:rFonts w:ascii="Times New Roman" w:eastAsia="Calibri" w:hAnsi="Times New Roman"/>
          <w:color w:val="000000" w:themeColor="text1"/>
          <w:kern w:val="2"/>
          <w:sz w:val="28"/>
          <w:szCs w:val="28"/>
          <w14:ligatures w14:val="standardContextual"/>
        </w:rPr>
        <w:t>a bàn t</w:t>
      </w:r>
      <w:r>
        <w:rPr>
          <w:rFonts w:ascii="Times New Roman" w:eastAsia="Calibri" w:hAnsi="Times New Roman"/>
          <w:color w:val="000000" w:themeColor="text1"/>
          <w:kern w:val="2"/>
          <w:sz w:val="28"/>
          <w:szCs w:val="28"/>
          <w14:ligatures w14:val="standardContextual"/>
        </w:rPr>
        <w:t>ỉ</w:t>
      </w:r>
      <w:r>
        <w:rPr>
          <w:rFonts w:ascii="Times New Roman" w:eastAsia="Calibri" w:hAnsi="Times New Roman"/>
          <w:color w:val="000000" w:themeColor="text1"/>
          <w:kern w:val="2"/>
          <w:sz w:val="28"/>
          <w:szCs w:val="28"/>
          <w14:ligatures w14:val="standardContextual"/>
        </w:rPr>
        <w:t>nh Thanh Hóa th</w:t>
      </w:r>
      <w:r>
        <w:rPr>
          <w:rFonts w:ascii="Times New Roman" w:eastAsia="Calibri" w:hAnsi="Times New Roman"/>
          <w:color w:val="000000" w:themeColor="text1"/>
          <w:kern w:val="2"/>
          <w:sz w:val="28"/>
          <w:szCs w:val="28"/>
          <w14:ligatures w14:val="standardContextual"/>
        </w:rPr>
        <w:t>ự</w:t>
      </w:r>
      <w:r>
        <w:rPr>
          <w:rFonts w:ascii="Times New Roman" w:eastAsia="Calibri" w:hAnsi="Times New Roman"/>
          <w:color w:val="000000" w:themeColor="text1"/>
          <w:kern w:val="2"/>
          <w:sz w:val="28"/>
          <w:szCs w:val="28"/>
          <w14:ligatures w14:val="standardContextual"/>
        </w:rPr>
        <w:t>c hi</w:t>
      </w:r>
      <w:r>
        <w:rPr>
          <w:rFonts w:ascii="Times New Roman" w:eastAsia="Calibri" w:hAnsi="Times New Roman"/>
          <w:color w:val="000000" w:themeColor="text1"/>
          <w:kern w:val="2"/>
          <w:sz w:val="28"/>
          <w:szCs w:val="28"/>
          <w14:ligatures w14:val="standardContextual"/>
        </w:rPr>
        <w:t>ệ</w:t>
      </w:r>
      <w:r>
        <w:rPr>
          <w:rFonts w:ascii="Times New Roman" w:eastAsia="Calibri" w:hAnsi="Times New Roman"/>
          <w:color w:val="000000" w:themeColor="text1"/>
          <w:kern w:val="2"/>
          <w:sz w:val="28"/>
          <w:szCs w:val="28"/>
          <w14:ligatures w14:val="standardContextual"/>
        </w:rPr>
        <w:t xml:space="preserve">n </w:t>
      </w:r>
      <w:r>
        <w:rPr>
          <w:rFonts w:ascii="Times New Roman" w:hAnsi="Times New Roman"/>
          <w:color w:val="000000" w:themeColor="text1"/>
          <w:sz w:val="28"/>
          <w:szCs w:val="28"/>
        </w:rPr>
        <w:t>Nghị quyết số 198/2025/QH15 ngày 17/5/2025 của Quốc hội về một số cơ chế, chính sách đặc biệt phát triển kinh tế tư nhân thuộc thẩm quyền của Ủy ban nhân dân tỉnh theo quy định của pháp luật.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Các nội d</w:t>
      </w:r>
      <w:r>
        <w:rPr>
          <w:rFonts w:ascii="Times New Roman" w:hAnsi="Times New Roman"/>
          <w:color w:val="000000" w:themeColor="text1"/>
          <w:sz w:val="28"/>
          <w:szCs w:val="28"/>
        </w:rPr>
        <w:t>ung về hồ sơ, trình tự, thủ tục được quy định nhằm làm rõ cách thức tổ chức thực hiện chính sách, bảo đảm công khai, minh bạch, thống nhất trong quá trình tiếp nhận, thẩm định và quyết định hỗ trợ; không quy định thêm điều kiện đầu tư kinh doanh đối với do</w:t>
      </w:r>
      <w:r>
        <w:rPr>
          <w:rFonts w:ascii="Times New Roman" w:hAnsi="Times New Roman"/>
          <w:color w:val="000000" w:themeColor="text1"/>
          <w:sz w:val="28"/>
          <w:szCs w:val="28"/>
        </w:rPr>
        <w:t>anh nghiệp ngoài các điều kiện theo quy định của pháp luật.</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Trường hợp nội dung dự thảo có liên quan đến thủ tục hành chính thuộc phạm vi điều chỉnh của pháp luật về kiểm soát thủ tục hành chính thì thực hiện </w:t>
      </w:r>
      <w:r>
        <w:rPr>
          <w:rFonts w:ascii="Times New Roman" w:hAnsi="Times New Roman"/>
          <w:color w:val="000000" w:themeColor="text1"/>
          <w:sz w:val="28"/>
          <w:szCs w:val="28"/>
        </w:rPr>
        <w:lastRenderedPageBreak/>
        <w:t xml:space="preserve">việc đánh giá tác động, kiểm soát, công bố, </w:t>
      </w:r>
      <w:r>
        <w:rPr>
          <w:rFonts w:ascii="Times New Roman" w:hAnsi="Times New Roman"/>
          <w:color w:val="000000" w:themeColor="text1"/>
          <w:sz w:val="28"/>
          <w:szCs w:val="28"/>
        </w:rPr>
        <w:t>công khai thủ tục hành chính theo đúng quy định.</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2. Về nguồn lực thực hiện.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Kinh phí thực hiện chính sách do ngân sách tỉnh bảo đảm theo quy định của pháp luật về ngân sách nhà nước và khả năng cân đối ngân sách hằng năm.</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Việc lập dự toán, tổng hợp nhu cầu</w:t>
      </w:r>
      <w:r>
        <w:rPr>
          <w:rFonts w:ascii="Times New Roman" w:hAnsi="Times New Roman"/>
          <w:color w:val="000000" w:themeColor="text1"/>
          <w:sz w:val="28"/>
          <w:szCs w:val="28"/>
        </w:rPr>
        <w:t>, bố trí, quản lý, sử dụng, thanh toán và quyết toán kinh phí hỗ trợ thực hiện theo quy định của pháp luật về ngân sách nhà nước và các quy định pháp luật có liên quan.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Dự thảo không xác định mức kinh phí hỗ trợ cố định cho từng cụm công nghiệp mà xác định</w:t>
      </w:r>
      <w:r>
        <w:rPr>
          <w:rFonts w:ascii="Times New Roman" w:hAnsi="Times New Roman"/>
          <w:color w:val="000000" w:themeColor="text1"/>
          <w:sz w:val="28"/>
          <w:szCs w:val="28"/>
        </w:rPr>
        <w:t xml:space="preserve"> theo tiêu chí, tỷ lệ, phương pháp tính và mức tối đa quy định tại Quyết định; mức hỗ trợ cụ thể do Ủy ban nhân dân tỉnh quyết định trên cơ sở kết quả thẩm định hồ sơ.</w:t>
      </w:r>
    </w:p>
    <w:p w:rsidR="00876277" w:rsidRDefault="00BB0D14">
      <w:pPr>
        <w:spacing w:after="120"/>
        <w:ind w:firstLine="720"/>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3. Về điều kiện bảo đảm thi hành.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Các sở, ban, ngành, Ủy ban nhân dân cấp xã và các cơ </w:t>
      </w:r>
      <w:r>
        <w:rPr>
          <w:rFonts w:ascii="Times New Roman" w:hAnsi="Times New Roman"/>
          <w:color w:val="000000" w:themeColor="text1"/>
          <w:sz w:val="28"/>
          <w:szCs w:val="28"/>
        </w:rPr>
        <w:t>quan, đơn vị có liên quan tổ chức thực hiện trong phạm vi chức năng, nhiệm vụ, quyền hạn được giao.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Sở Công Thương là cơ quan đầu mối theo dõi, tổng hợp, kiểm tra và tham mưu Ủy ban nhân dân tỉnh tổ chức thực hiện chính sách.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sz w:val="28"/>
          <w:szCs w:val="28"/>
        </w:rPr>
        <w:t>C</w:t>
      </w:r>
      <w:r>
        <w:rPr>
          <w:rFonts w:ascii="Times New Roman" w:hAnsi="Times New Roman"/>
          <w:color w:val="000000"/>
          <w:sz w:val="28"/>
          <w:szCs w:val="28"/>
          <w:lang w:val="vi-VN"/>
        </w:rPr>
        <w:t>hủ đầu tư xây dựng hạ tầng kỹ</w:t>
      </w:r>
      <w:r>
        <w:rPr>
          <w:rFonts w:ascii="Times New Roman" w:hAnsi="Times New Roman"/>
          <w:color w:val="000000"/>
          <w:sz w:val="28"/>
          <w:szCs w:val="28"/>
          <w:lang w:val="vi-VN"/>
        </w:rPr>
        <w:t xml:space="preserve"> thuật cụm công nghiệp </w:t>
      </w:r>
      <w:r>
        <w:rPr>
          <w:rFonts w:ascii="Times New Roman" w:hAnsi="Times New Roman"/>
          <w:color w:val="000000" w:themeColor="text1"/>
          <w:sz w:val="28"/>
          <w:szCs w:val="28"/>
        </w:rPr>
        <w:t>chịu trách nhiệm bố trí nguồn vốn thực hiện dự án theo quy định, cung cấp hồ sơ, tài liệu, chứng từ phục vụ thẩm định và sử dụng kinh phí hỗ trợ đúng mục đích, đúng quy định.</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VII. DỰ KIẾN HIỆU LỰC VÀ TỔ CHỨC THỰC HIỆN.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Dự thảo Quyết </w:t>
      </w:r>
      <w:r>
        <w:rPr>
          <w:rFonts w:ascii="Times New Roman" w:hAnsi="Times New Roman"/>
          <w:color w:val="000000" w:themeColor="text1"/>
          <w:sz w:val="28"/>
          <w:szCs w:val="28"/>
        </w:rPr>
        <w:t>định dự kiến quy định thời điểm có hiệu lực kể từ ngày ... tháng 9 năm 2026.</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Đối với các cụm công nghiệp, dự án đầu tư xây dựng kết cấu hạ tầng cụm công nghiệp đã được thành lập, quyết định trước ngày Quyết định có hiệu lực nhưng chưa hoàn thành đầu tư, tr</w:t>
      </w:r>
      <w:r>
        <w:rPr>
          <w:rFonts w:ascii="Times New Roman" w:hAnsi="Times New Roman"/>
          <w:color w:val="000000" w:themeColor="text1"/>
          <w:sz w:val="28"/>
          <w:szCs w:val="28"/>
        </w:rPr>
        <w:t>ường hợp đáp ứng các điều kiện hỗ trợ thì được xem xét hỗ trợ đối với các hạng mục thuộc phạm vi hỗ trợ trên cơ sở khối lượng thực tế hoàn thành, được nghiệm thu và bảo đảm không trùng lặp với các khoản hỗ trợ từ ngân sách nhà nước đã được hưởng.</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Đối với c</w:t>
      </w:r>
      <w:r>
        <w:rPr>
          <w:rFonts w:ascii="Times New Roman" w:hAnsi="Times New Roman"/>
          <w:color w:val="000000" w:themeColor="text1"/>
          <w:sz w:val="28"/>
          <w:szCs w:val="28"/>
        </w:rPr>
        <w:t>ác cụm công nghiệp đã được thành lập trước ngày Nghị định số 303/2026/NĐ-CP có hiệu lực, việc xác định diện tích đất dành cho các đối tượng được ưu tiên được thực hiện theo quy định chuyển tiếp của Quyết định và phù hợp với quỹ đất, hiện trạng đầu tư hạ tầ</w:t>
      </w:r>
      <w:r>
        <w:rPr>
          <w:rFonts w:ascii="Times New Roman" w:hAnsi="Times New Roman"/>
          <w:color w:val="000000" w:themeColor="text1"/>
          <w:sz w:val="28"/>
          <w:szCs w:val="28"/>
        </w:rPr>
        <w:t>ng, tình hình cho thuê, cho thuê lại đất và nhu cầu thực tế của từng cụm công nghiệp.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Sau khi Quyết định được ban hành, Sở Công Thương chủ trì, phối hợp với các sở, ngành, địa phương và </w:t>
      </w:r>
      <w:r>
        <w:rPr>
          <w:rFonts w:ascii="Times New Roman" w:hAnsi="Times New Roman"/>
          <w:color w:val="000000"/>
          <w:sz w:val="28"/>
          <w:szCs w:val="28"/>
          <w:lang w:val="vi-VN"/>
        </w:rPr>
        <w:t>chủ đầu tư xây dựng hạ tầng kỹ thuật cụm công nghiệp</w:t>
      </w:r>
      <w:r>
        <w:rPr>
          <w:rFonts w:ascii="Times New Roman" w:hAnsi="Times New Roman"/>
          <w:color w:val="000000"/>
          <w:sz w:val="28"/>
          <w:szCs w:val="28"/>
        </w:rPr>
        <w:t xml:space="preserve"> </w:t>
      </w:r>
      <w:r>
        <w:rPr>
          <w:rFonts w:ascii="Times New Roman" w:hAnsi="Times New Roman"/>
          <w:color w:val="000000" w:themeColor="text1"/>
          <w:sz w:val="28"/>
          <w:szCs w:val="28"/>
        </w:rPr>
        <w:t>tổ chức triển kha</w:t>
      </w:r>
      <w:r>
        <w:rPr>
          <w:rFonts w:ascii="Times New Roman" w:hAnsi="Times New Roman"/>
          <w:color w:val="000000" w:themeColor="text1"/>
          <w:sz w:val="28"/>
          <w:szCs w:val="28"/>
        </w:rPr>
        <w:t>i, hướng dẫn, theo dõi, kiểm tra và tổng hợp tình hình thực hiện; kịp thời báo cáo, tham mưu Ủy ban nhân dân tỉnh xử lý các khó khăn, vướng mắc phát sinh.</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lastRenderedPageBreak/>
        <w:t>VIII. HỒ SƠ KÈM THEO.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Hồ sơ trình Ủy ban nhân dân tỉnh xem xét, ban hành gồm:</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1. Dự thảo Quyết định c</w:t>
      </w:r>
      <w:r>
        <w:rPr>
          <w:rFonts w:ascii="Times New Roman" w:hAnsi="Times New Roman"/>
          <w:color w:val="000000" w:themeColor="text1"/>
          <w:sz w:val="28"/>
          <w:szCs w:val="28"/>
        </w:rPr>
        <w:t>ủa Ủy ban nhân dân tỉnh ban hành nguyên tắc, tiêu chí, định mức, hồ sơ, trình tự, thủ tục thực hiện chính sách hỗ trợ tiếp cận đất đai, mặt bằng sản xuất kinh doanh trong các cụm công nghiệp trên địa bàn tỉnh Thanh Hóa.</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Dự thảo Phụ lục tiêu chí, phương </w:t>
      </w:r>
      <w:r>
        <w:rPr>
          <w:rFonts w:ascii="Times New Roman" w:hAnsi="Times New Roman"/>
          <w:color w:val="000000" w:themeColor="text1"/>
          <w:sz w:val="28"/>
          <w:szCs w:val="28"/>
        </w:rPr>
        <w:t>pháp xác định diện tích và mức hỗ trợ đầu tư hạ tầng kỹ thuật cụm công nghiệp kèm theo Quyết định.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3. Bản tổng hợp, giải trình, tiếp thu ý kiến góp ý của các cơ quan, tổ chức, đơn vị, cá nhân có liên quan.</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4. Báo cáo thẩm định của Sở Tư pháp và văn bản tiế</w:t>
      </w:r>
      <w:r>
        <w:rPr>
          <w:rFonts w:ascii="Times New Roman" w:hAnsi="Times New Roman"/>
          <w:color w:val="000000" w:themeColor="text1"/>
          <w:sz w:val="28"/>
          <w:szCs w:val="28"/>
        </w:rPr>
        <w:t>p thu, giải trình ý kiến thẩm định.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5. Các tài liệu có liên quan theo quy định của pháp luật về ban hành văn bản quy phạm pháp luật.</w:t>
      </w:r>
    </w:p>
    <w:p w:rsidR="00876277" w:rsidRDefault="00BB0D14">
      <w:pPr>
        <w:spacing w:after="120"/>
        <w:ind w:firstLine="720"/>
        <w:jc w:val="both"/>
        <w:rPr>
          <w:rFonts w:ascii="Times New Roman" w:hAnsi="Times New Roman"/>
          <w:b/>
          <w:bCs/>
          <w:color w:val="000000" w:themeColor="text1"/>
          <w:sz w:val="26"/>
          <w:szCs w:val="26"/>
        </w:rPr>
      </w:pPr>
      <w:r>
        <w:rPr>
          <w:rFonts w:ascii="Times New Roman" w:hAnsi="Times New Roman"/>
          <w:b/>
          <w:bCs/>
          <w:color w:val="000000" w:themeColor="text1"/>
          <w:sz w:val="26"/>
          <w:szCs w:val="26"/>
        </w:rPr>
        <w:t>IX. KIẾN NGHỊ.</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Trên cơ sở những nội dung nêu trên, Sở Công Thương kính trình Ủy ban nhân dân tỉnh: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1.</w:t>
      </w:r>
      <w:r>
        <w:rPr>
          <w:rFonts w:ascii="Times New Roman" w:hAnsi="Times New Roman"/>
          <w:color w:val="000000" w:themeColor="text1"/>
          <w:sz w:val="28"/>
          <w:szCs w:val="28"/>
        </w:rPr>
        <w:t xml:space="preserve"> Xem xét, ban hành Quyết định quy định nguyên tắc, tiêu chí, định mức, hồ sơ, trình tự, thủ tục thực hiện chính sách hỗ trợ tiếp cận đất đai, mặt bằng sản xuất kinh doanh trong các cụm công nghiệp trên địa bàn tỉnh Thanh Hóa để cụ thể hóa và tổ chức thực h</w:t>
      </w:r>
      <w:r>
        <w:rPr>
          <w:rFonts w:ascii="Times New Roman" w:hAnsi="Times New Roman"/>
          <w:color w:val="000000" w:themeColor="text1"/>
          <w:sz w:val="28"/>
          <w:szCs w:val="28"/>
        </w:rPr>
        <w:t>iện Nghị quyết số 198/2025/QH15, Nghị định số 20/2026/NĐ-CP, Nghị định số 32/2024/NĐ-CP và Nghị định số 303/2026/NĐ-CP.</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2.</w:t>
      </w:r>
      <w:r>
        <w:rPr>
          <w:rFonts w:ascii="Times New Roman" w:hAnsi="Times New Roman"/>
          <w:color w:val="000000" w:themeColor="text1"/>
          <w:sz w:val="28"/>
          <w:szCs w:val="28"/>
        </w:rPr>
        <w:t xml:space="preserve"> Giao Sở Công Thương chủ trì, phối hợp với các sở, ban, ngành, Ủy ban nhân dân cấp xã và các cơ quan, đơn vị có liên quan tổ chức triể</w:t>
      </w:r>
      <w:r>
        <w:rPr>
          <w:rFonts w:ascii="Times New Roman" w:hAnsi="Times New Roman"/>
          <w:color w:val="000000" w:themeColor="text1"/>
          <w:sz w:val="28"/>
          <w:szCs w:val="28"/>
        </w:rPr>
        <w:t>n khai, hướng dẫn, theo dõi, kiểm tra và tổng hợp tình hình thực hiện chính sách; kịp thời báo cáo, tham mưu Ủy ban nhân dân tỉnh xem xét, xử lý những khó khăn, vướng mắc phát sinh.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bCs/>
          <w:color w:val="000000" w:themeColor="text1"/>
          <w:sz w:val="28"/>
          <w:szCs w:val="28"/>
        </w:rPr>
        <w:t>3.</w:t>
      </w:r>
      <w:r>
        <w:rPr>
          <w:rFonts w:ascii="Times New Roman" w:hAnsi="Times New Roman"/>
          <w:color w:val="000000" w:themeColor="text1"/>
          <w:sz w:val="28"/>
          <w:szCs w:val="28"/>
        </w:rPr>
        <w:t xml:space="preserve"> Giao Sở Tài chính, Sở Xây dựng, Sở Nông nghiệp và Môi trường và các cơ </w:t>
      </w:r>
      <w:r>
        <w:rPr>
          <w:rFonts w:ascii="Times New Roman" w:hAnsi="Times New Roman"/>
          <w:color w:val="000000" w:themeColor="text1"/>
          <w:sz w:val="28"/>
          <w:szCs w:val="28"/>
        </w:rPr>
        <w:t>quan, đơn vị có liên quan căn cứ chức năng, nhiệm vụ, quyền hạn được giao phối hợp với Sở Công Thương trong quá trình tổ chức thực hiện chính sách.</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Sở Công Thương cam kết chịu trách nhiệm về tính chính xác, hợp pháp của nội dung tham mưu, đề xuất trong phạ</w:t>
      </w:r>
      <w:r>
        <w:rPr>
          <w:rFonts w:ascii="Times New Roman" w:hAnsi="Times New Roman"/>
          <w:color w:val="000000" w:themeColor="text1"/>
          <w:sz w:val="28"/>
          <w:szCs w:val="28"/>
        </w:rPr>
        <w:t>m vi chức năng, nhiệm vụ, quyền hạn được giao.</w:t>
      </w:r>
    </w:p>
    <w:p w:rsidR="00876277" w:rsidRDefault="00BB0D14">
      <w:pPr>
        <w:spacing w:after="120"/>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Sở Công Thương kính trình Ủy ban nhân dân tỉnh xem xét, quyết định./.</w:t>
      </w:r>
    </w:p>
    <w:tbl>
      <w:tblPr>
        <w:tblW w:w="9108" w:type="dxa"/>
        <w:tblLook w:val="01E0" w:firstRow="1" w:lastRow="1" w:firstColumn="1" w:lastColumn="1" w:noHBand="0" w:noVBand="0"/>
      </w:tblPr>
      <w:tblGrid>
        <w:gridCol w:w="5688"/>
        <w:gridCol w:w="3420"/>
      </w:tblGrid>
      <w:tr w:rsidR="00876277">
        <w:tc>
          <w:tcPr>
            <w:tcW w:w="5688" w:type="dxa"/>
          </w:tcPr>
          <w:p w:rsidR="00876277" w:rsidRDefault="00BB0D14">
            <w:pPr>
              <w:spacing w:line="340" w:lineRule="exact"/>
              <w:jc w:val="both"/>
              <w:rPr>
                <w:rFonts w:ascii="Times New Roman" w:hAnsi="Times New Roman"/>
                <w:b/>
                <w:bCs/>
                <w:color w:val="000000" w:themeColor="text1"/>
                <w:sz w:val="26"/>
                <w:szCs w:val="26"/>
                <w:lang w:val="vi-VN"/>
              </w:rPr>
            </w:pPr>
            <w:r>
              <w:rPr>
                <w:rFonts w:ascii="Times New Roman" w:hAnsi="Times New Roman"/>
                <w:b/>
                <w:bCs/>
                <w:i/>
                <w:iCs/>
                <w:color w:val="000000" w:themeColor="text1"/>
                <w:lang w:val="vi-VN"/>
              </w:rPr>
              <w:t>Nơi nhận</w:t>
            </w:r>
            <w:r>
              <w:rPr>
                <w:rFonts w:ascii="Times New Roman" w:hAnsi="Times New Roman"/>
                <w:b/>
                <w:bCs/>
                <w:color w:val="000000" w:themeColor="text1"/>
                <w:lang w:val="vi-VN"/>
              </w:rPr>
              <w:t>:</w:t>
            </w:r>
            <w:r>
              <w:rPr>
                <w:rFonts w:ascii="Times New Roman" w:hAnsi="Times New Roman"/>
                <w:color w:val="000000" w:themeColor="text1"/>
                <w:lang w:val="vi-VN"/>
              </w:rPr>
              <w:t xml:space="preserve">                                                                                  </w:t>
            </w:r>
          </w:p>
          <w:p w:rsidR="00876277" w:rsidRDefault="00BB0D14">
            <w:pPr>
              <w:jc w:val="both"/>
              <w:rPr>
                <w:rFonts w:ascii="Times New Roman" w:hAnsi="Times New Roman"/>
                <w:color w:val="000000" w:themeColor="text1"/>
                <w:sz w:val="22"/>
                <w:szCs w:val="22"/>
                <w:lang w:val="vi-VN"/>
              </w:rPr>
            </w:pPr>
            <w:r>
              <w:rPr>
                <w:rFonts w:ascii="Times New Roman" w:hAnsi="Times New Roman"/>
                <w:color w:val="000000" w:themeColor="text1"/>
                <w:sz w:val="22"/>
                <w:szCs w:val="22"/>
              </w:rPr>
              <w:t xml:space="preserve"> </w:t>
            </w:r>
            <w:r>
              <w:rPr>
                <w:rFonts w:ascii="Times New Roman" w:hAnsi="Times New Roman"/>
                <w:color w:val="000000" w:themeColor="text1"/>
                <w:sz w:val="22"/>
                <w:szCs w:val="22"/>
                <w:lang w:val="vi-VN"/>
              </w:rPr>
              <w:t>- Như trên;</w:t>
            </w:r>
          </w:p>
          <w:p w:rsidR="00876277" w:rsidRDefault="00BB0D14">
            <w:pPr>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Chủ tịch, các PCT UBND tỉnh;</w:t>
            </w:r>
          </w:p>
          <w:p w:rsidR="00876277" w:rsidRDefault="00BB0D14">
            <w:pPr>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Văn phòng UBND tỉnh;</w:t>
            </w:r>
          </w:p>
          <w:p w:rsidR="00876277" w:rsidRDefault="00BB0D14">
            <w:pPr>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 - Các Sở: Tư pháp; Tài chính; Xây dựng;</w:t>
            </w:r>
          </w:p>
          <w:p w:rsidR="00876277" w:rsidRDefault="00BB0D14">
            <w:pPr>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Nông nghiệp và Môi trường;</w:t>
            </w:r>
          </w:p>
          <w:p w:rsidR="00876277" w:rsidRDefault="00BB0D14">
            <w:pPr>
              <w:jc w:val="both"/>
              <w:rPr>
                <w:rFonts w:ascii="Times New Roman" w:hAnsi="Times New Roman"/>
                <w:color w:val="000000" w:themeColor="text1"/>
                <w:sz w:val="22"/>
                <w:szCs w:val="22"/>
                <w:lang w:val="vi-VN"/>
              </w:rPr>
            </w:pPr>
            <w:r>
              <w:rPr>
                <w:rFonts w:ascii="Times New Roman" w:hAnsi="Times New Roman"/>
                <w:color w:val="000000" w:themeColor="text1"/>
                <w:sz w:val="22"/>
                <w:szCs w:val="22"/>
              </w:rPr>
              <w:t xml:space="preserve"> </w:t>
            </w:r>
            <w:r>
              <w:rPr>
                <w:rFonts w:ascii="Times New Roman" w:hAnsi="Times New Roman"/>
                <w:color w:val="000000" w:themeColor="text1"/>
                <w:sz w:val="22"/>
                <w:szCs w:val="22"/>
                <w:lang w:val="vi-VN"/>
              </w:rPr>
              <w:t xml:space="preserve">- </w:t>
            </w:r>
            <w:r>
              <w:rPr>
                <w:rFonts w:ascii="Times New Roman" w:hAnsi="Times New Roman"/>
                <w:color w:val="000000" w:themeColor="text1"/>
                <w:sz w:val="22"/>
                <w:szCs w:val="22"/>
              </w:rPr>
              <w:t>Các Phó Giám đốc Sở</w:t>
            </w:r>
            <w:r>
              <w:rPr>
                <w:rFonts w:ascii="Times New Roman" w:hAnsi="Times New Roman"/>
                <w:color w:val="000000" w:themeColor="text1"/>
                <w:sz w:val="22"/>
                <w:szCs w:val="22"/>
                <w:lang w:val="vi-VN"/>
              </w:rPr>
              <w:t xml:space="preserve"> (đ/b);</w:t>
            </w:r>
          </w:p>
          <w:p w:rsidR="00876277" w:rsidRDefault="00BB0D14">
            <w:pPr>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Lưu: VT, QLCN.</w:t>
            </w:r>
          </w:p>
          <w:p w:rsidR="00876277" w:rsidRDefault="00876277">
            <w:pPr>
              <w:spacing w:before="60" w:line="288" w:lineRule="auto"/>
              <w:jc w:val="both"/>
              <w:rPr>
                <w:rFonts w:ascii="Times New Roman" w:hAnsi="Times New Roman"/>
                <w:color w:val="000000" w:themeColor="text1"/>
                <w:spacing w:val="-2"/>
              </w:rPr>
            </w:pPr>
          </w:p>
        </w:tc>
        <w:tc>
          <w:tcPr>
            <w:tcW w:w="3420" w:type="dxa"/>
          </w:tcPr>
          <w:p w:rsidR="00876277" w:rsidRDefault="00BB0D14">
            <w:pPr>
              <w:jc w:val="center"/>
              <w:rPr>
                <w:rFonts w:ascii="Times New Roman" w:hAnsi="Times New Roman"/>
                <w:b/>
                <w:bCs/>
                <w:color w:val="000000" w:themeColor="text1"/>
                <w:sz w:val="26"/>
                <w:szCs w:val="28"/>
              </w:rPr>
            </w:pPr>
            <w:r>
              <w:rPr>
                <w:rFonts w:ascii="Times New Roman" w:hAnsi="Times New Roman"/>
                <w:b/>
                <w:bCs/>
                <w:color w:val="000000" w:themeColor="text1"/>
                <w:sz w:val="26"/>
                <w:szCs w:val="28"/>
              </w:rPr>
              <w:lastRenderedPageBreak/>
              <w:t>GIÁM ĐỐC</w:t>
            </w:r>
          </w:p>
          <w:p w:rsidR="00876277" w:rsidRDefault="00876277">
            <w:pPr>
              <w:jc w:val="center"/>
              <w:rPr>
                <w:rFonts w:ascii="Times New Roman" w:hAnsi="Times New Roman"/>
                <w:b/>
                <w:bCs/>
                <w:color w:val="000000" w:themeColor="text1"/>
                <w:sz w:val="26"/>
                <w:szCs w:val="28"/>
              </w:rPr>
            </w:pPr>
          </w:p>
          <w:p w:rsidR="00876277" w:rsidRDefault="00876277">
            <w:pPr>
              <w:jc w:val="center"/>
              <w:rPr>
                <w:rFonts w:ascii="Times New Roman" w:hAnsi="Times New Roman"/>
                <w:b/>
                <w:bCs/>
                <w:color w:val="000000" w:themeColor="text1"/>
                <w:sz w:val="26"/>
                <w:szCs w:val="26"/>
              </w:rPr>
            </w:pPr>
          </w:p>
          <w:p w:rsidR="00876277" w:rsidRDefault="00876277">
            <w:pPr>
              <w:jc w:val="center"/>
              <w:rPr>
                <w:rFonts w:ascii="Times New Roman" w:hAnsi="Times New Roman"/>
                <w:b/>
                <w:bCs/>
                <w:color w:val="000000" w:themeColor="text1"/>
                <w:sz w:val="26"/>
                <w:szCs w:val="26"/>
              </w:rPr>
            </w:pPr>
          </w:p>
          <w:p w:rsidR="00876277" w:rsidRDefault="00876277">
            <w:pPr>
              <w:jc w:val="center"/>
              <w:rPr>
                <w:rFonts w:ascii="Times New Roman" w:hAnsi="Times New Roman"/>
                <w:b/>
                <w:bCs/>
                <w:color w:val="000000" w:themeColor="text1"/>
                <w:sz w:val="4"/>
                <w:szCs w:val="26"/>
              </w:rPr>
            </w:pPr>
          </w:p>
          <w:p w:rsidR="00876277" w:rsidRDefault="00876277">
            <w:pPr>
              <w:spacing w:before="60" w:line="288" w:lineRule="auto"/>
              <w:jc w:val="center"/>
              <w:rPr>
                <w:rFonts w:ascii="Times New Roman" w:hAnsi="Times New Roman"/>
                <w:b/>
                <w:bCs/>
                <w:color w:val="000000" w:themeColor="text1"/>
                <w:sz w:val="27"/>
                <w:szCs w:val="27"/>
              </w:rPr>
            </w:pPr>
          </w:p>
          <w:p w:rsidR="00876277" w:rsidRDefault="00876277">
            <w:pPr>
              <w:spacing w:before="60" w:line="288" w:lineRule="auto"/>
              <w:jc w:val="center"/>
              <w:rPr>
                <w:rFonts w:ascii="Times New Roman" w:hAnsi="Times New Roman"/>
                <w:b/>
                <w:bCs/>
                <w:color w:val="000000" w:themeColor="text1"/>
                <w:sz w:val="5"/>
                <w:szCs w:val="27"/>
              </w:rPr>
            </w:pPr>
          </w:p>
          <w:p w:rsidR="00876277" w:rsidRDefault="00876277">
            <w:pPr>
              <w:spacing w:before="60" w:line="288" w:lineRule="auto"/>
              <w:jc w:val="center"/>
              <w:rPr>
                <w:rFonts w:ascii="Times New Roman" w:hAnsi="Times New Roman"/>
                <w:b/>
                <w:bCs/>
                <w:color w:val="000000" w:themeColor="text1"/>
                <w:sz w:val="3"/>
                <w:szCs w:val="27"/>
              </w:rPr>
            </w:pPr>
          </w:p>
          <w:p w:rsidR="00876277" w:rsidRDefault="00BB0D14">
            <w:pPr>
              <w:spacing w:before="400" w:line="288" w:lineRule="auto"/>
              <w:jc w:val="center"/>
              <w:rPr>
                <w:rFonts w:ascii="Times New Roman" w:hAnsi="Times New Roman"/>
                <w:b/>
                <w:color w:val="000000" w:themeColor="text1"/>
                <w:spacing w:val="-2"/>
                <w:sz w:val="28"/>
                <w:szCs w:val="28"/>
              </w:rPr>
            </w:pPr>
            <w:r>
              <w:rPr>
                <w:rFonts w:ascii="Times New Roman" w:hAnsi="Times New Roman"/>
                <w:b/>
                <w:color w:val="000000" w:themeColor="text1"/>
                <w:spacing w:val="-2"/>
                <w:sz w:val="28"/>
                <w:szCs w:val="28"/>
              </w:rPr>
              <w:t>Nguyễn Tiến Hiệu</w:t>
            </w:r>
          </w:p>
        </w:tc>
      </w:tr>
    </w:tbl>
    <w:p w:rsidR="00876277" w:rsidRDefault="00876277">
      <w:pPr>
        <w:rPr>
          <w:color w:val="000000" w:themeColor="text1"/>
        </w:rPr>
      </w:pPr>
    </w:p>
    <w:sectPr w:rsidR="00876277">
      <w:headerReference w:type="default" r:id="rId8"/>
      <w:footerReference w:type="even"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D14" w:rsidRDefault="00BB0D14">
      <w:r>
        <w:separator/>
      </w:r>
    </w:p>
  </w:endnote>
  <w:endnote w:type="continuationSeparator" w:id="0">
    <w:p w:rsidR="00BB0D14" w:rsidRDefault="00BB0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Klee One"/>
    <w:panose1 w:val="00000000000000000000"/>
    <w:charset w:val="80"/>
    <w:family w:val="auto"/>
    <w:notTrueType/>
    <w:pitch w:val="default"/>
    <w:sig w:usb0="00000000" w:usb1="08070000" w:usb2="00000010" w:usb3="00000000" w:csb0="00020001" w:csb1="00000000"/>
  </w:font>
  <w:font w:name="TimesNewRomanPS-Bold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277" w:rsidRDefault="00BB0D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76277" w:rsidRDefault="00876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D14" w:rsidRDefault="00BB0D14">
      <w:r>
        <w:separator/>
      </w:r>
    </w:p>
  </w:footnote>
  <w:footnote w:type="continuationSeparator" w:id="0">
    <w:p w:rsidR="00BB0D14" w:rsidRDefault="00BB0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277" w:rsidRDefault="00BB0D14">
    <w:pPr>
      <w:pStyle w:val="Header"/>
      <w:jc w:val="center"/>
    </w:pPr>
    <w:r>
      <w:fldChar w:fldCharType="begin"/>
    </w:r>
    <w:r>
      <w:instrText xml:space="preserve"> PAGE   \* MERGEFORMAT </w:instrText>
    </w:r>
    <w:r>
      <w:fldChar w:fldCharType="separate"/>
    </w:r>
    <w:r w:rsidR="00997C44">
      <w:rPr>
        <w:noProof/>
      </w:rPr>
      <w:t>11</w:t>
    </w:r>
    <w:r>
      <w:rPr>
        <w:noProof/>
      </w:rPr>
      <w:fldChar w:fldCharType="end"/>
    </w:r>
  </w:p>
  <w:p w:rsidR="00876277" w:rsidRDefault="008762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78C2"/>
    <w:multiLevelType w:val="multilevel"/>
    <w:tmpl w:val="E8EC5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D07FF"/>
    <w:multiLevelType w:val="multilevel"/>
    <w:tmpl w:val="0500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5C6903"/>
    <w:multiLevelType w:val="multilevel"/>
    <w:tmpl w:val="B750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E50189"/>
    <w:multiLevelType w:val="multilevel"/>
    <w:tmpl w:val="44D6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DD41F0"/>
    <w:multiLevelType w:val="multilevel"/>
    <w:tmpl w:val="C2DA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0F53E1"/>
    <w:multiLevelType w:val="hybridMultilevel"/>
    <w:tmpl w:val="500E986C"/>
    <w:lvl w:ilvl="0" w:tplc="B2866A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2F27207B"/>
    <w:multiLevelType w:val="multilevel"/>
    <w:tmpl w:val="74F0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98306C"/>
    <w:multiLevelType w:val="multilevel"/>
    <w:tmpl w:val="9282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B804F3"/>
    <w:multiLevelType w:val="multilevel"/>
    <w:tmpl w:val="3476E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87573F"/>
    <w:multiLevelType w:val="multilevel"/>
    <w:tmpl w:val="9A8A0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7C435F"/>
    <w:multiLevelType w:val="multilevel"/>
    <w:tmpl w:val="C65C6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021DBA"/>
    <w:multiLevelType w:val="multilevel"/>
    <w:tmpl w:val="6088C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1B3E79"/>
    <w:multiLevelType w:val="multilevel"/>
    <w:tmpl w:val="E7BA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DC1448"/>
    <w:multiLevelType w:val="hybridMultilevel"/>
    <w:tmpl w:val="774AF596"/>
    <w:lvl w:ilvl="0" w:tplc="CBDC555E">
      <w:start w:val="2"/>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B5A7FEB"/>
    <w:multiLevelType w:val="hybridMultilevel"/>
    <w:tmpl w:val="0172B07C"/>
    <w:lvl w:ilvl="0" w:tplc="241A73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4"/>
  </w:num>
  <w:num w:numId="2">
    <w:abstractNumId w:val="13"/>
  </w:num>
  <w:num w:numId="3">
    <w:abstractNumId w:val="9"/>
  </w:num>
  <w:num w:numId="4">
    <w:abstractNumId w:val="5"/>
  </w:num>
  <w:num w:numId="5">
    <w:abstractNumId w:val="10"/>
  </w:num>
  <w:num w:numId="6">
    <w:abstractNumId w:val="12"/>
  </w:num>
  <w:num w:numId="7">
    <w:abstractNumId w:val="7"/>
  </w:num>
  <w:num w:numId="8">
    <w:abstractNumId w:val="4"/>
  </w:num>
  <w:num w:numId="9">
    <w:abstractNumId w:val="2"/>
  </w:num>
  <w:num w:numId="10">
    <w:abstractNumId w:val="6"/>
  </w:num>
  <w:num w:numId="11">
    <w:abstractNumId w:val="1"/>
  </w:num>
  <w:num w:numId="12">
    <w:abstractNumId w:val="8"/>
  </w:num>
  <w:num w:numId="13">
    <w:abstractNumId w:val="0"/>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277"/>
    <w:rsid w:val="00876277"/>
    <w:rsid w:val="00997C44"/>
    <w:rsid w:val="00BB0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4"/>
      <w:szCs w:val="24"/>
    </w:rPr>
  </w:style>
  <w:style w:type="paragraph" w:styleId="Heading1">
    <w:name w:val="heading 1"/>
    <w:basedOn w:val="Normal"/>
    <w:next w:val="Normal"/>
    <w:qFormat/>
    <w:pPr>
      <w:keepNext/>
      <w:outlineLvl w:val="0"/>
    </w:pPr>
    <w:rPr>
      <w:b/>
      <w:sz w:val="32"/>
      <w:szCs w:val="20"/>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cs="Verdana"/>
      <w:sz w:val="20"/>
      <w:szCs w:val="20"/>
    </w:rPr>
  </w:style>
  <w:style w:type="character" w:customStyle="1" w:styleId="BodyTextIndentChar">
    <w:name w:val="Body Text Indent Char"/>
    <w:link w:val="BodyTextIndent"/>
    <w:locked/>
    <w:rPr>
      <w:rFonts w:ascii=".VnTime" w:hAnsi=".VnTime"/>
      <w:color w:val="000000"/>
      <w:kern w:val="16"/>
      <w:sz w:val="28"/>
      <w:lang w:val="en-US" w:eastAsia="en-US" w:bidi="ar-SA"/>
    </w:rPr>
  </w:style>
  <w:style w:type="paragraph" w:styleId="BodyTextIndent">
    <w:name w:val="Body Text Indent"/>
    <w:basedOn w:val="Normal"/>
    <w:link w:val="BodyTextIndentChar"/>
    <w:pPr>
      <w:ind w:firstLine="567"/>
    </w:pPr>
    <w:rPr>
      <w:color w:val="000000"/>
      <w:kern w:val="16"/>
      <w:sz w:val="28"/>
      <w:szCs w:val="20"/>
    </w:rPr>
  </w:style>
  <w:style w:type="paragraph" w:customStyle="1" w:styleId="CharCharCharCharCharCharChar">
    <w:name w:val="Char Char Char Char Char Char Char"/>
    <w:basedOn w:val="Normal"/>
    <w:pPr>
      <w:spacing w:after="160" w:line="240" w:lineRule="exact"/>
    </w:pPr>
    <w:rPr>
      <w:rFonts w:ascii="Tahoma" w:eastAsia="PMingLiU" w:hAnsi="Tahoma"/>
      <w:sz w:val="20"/>
      <w:szCs w:val="20"/>
    </w:rPr>
  </w:style>
  <w:style w:type="paragraph" w:styleId="BodyText">
    <w:name w:val="Body Text"/>
    <w:basedOn w:val="Normal"/>
    <w:pPr>
      <w:spacing w:after="120"/>
    </w:pPr>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paragraph" w:styleId="Title">
    <w:name w:val="Title"/>
    <w:basedOn w:val="Normal"/>
    <w:next w:val="Normal"/>
    <w:qFormat/>
    <w:pPr>
      <w:spacing w:before="240" w:after="60"/>
      <w:jc w:val="center"/>
      <w:outlineLvl w:val="0"/>
    </w:pPr>
    <w:rPr>
      <w:rFonts w:ascii="Cambria" w:hAnsi="Cambria"/>
      <w:b/>
      <w:bCs/>
      <w:kern w:val="28"/>
      <w:sz w:val="32"/>
      <w:szCs w:val="32"/>
    </w:rPr>
  </w:style>
  <w:style w:type="paragraph" w:styleId="BodyTextIndent2">
    <w:name w:val="Body Text Indent 2"/>
    <w:basedOn w:val="Normal"/>
    <w:pPr>
      <w:spacing w:after="120" w:line="480" w:lineRule="auto"/>
      <w:ind w:left="360"/>
    </w:pPr>
    <w:rPr>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VnTime" w:hAnsi=".VnTime"/>
      <w:sz w:val="16"/>
      <w:szCs w:val="16"/>
      <w:lang w:val="en-US" w:eastAsia="en-US" w:bidi="ar-SA"/>
    </w:rPr>
  </w:style>
  <w:style w:type="paragraph" w:customStyle="1" w:styleId="Style2">
    <w:name w:val="Style2"/>
    <w:basedOn w:val="Normal"/>
    <w:autoRedefine/>
    <w:pPr>
      <w:spacing w:before="135" w:after="90"/>
      <w:ind w:firstLine="720"/>
      <w:jc w:val="both"/>
    </w:pPr>
    <w:rPr>
      <w:rFonts w:ascii="Times New Roman" w:hAnsi="Times New Roman"/>
      <w:b/>
      <w:sz w:val="28"/>
      <w:szCs w:val="28"/>
      <w:lang w:val="vi-VN" w:eastAsia="vi-VN"/>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harChar1CharCharCharChar">
    <w:name w:val="Char Char1 Char Char Char Char"/>
    <w:basedOn w:val="Normal"/>
    <w:pPr>
      <w:spacing w:after="160" w:line="240" w:lineRule="exact"/>
    </w:pPr>
    <w:rPr>
      <w:rFonts w:ascii="Verdana" w:hAnsi="Verdana" w:cs="Verdana"/>
      <w:sz w:val="20"/>
      <w:szCs w:val="20"/>
    </w:rPr>
  </w:style>
  <w:style w:type="paragraph" w:customStyle="1" w:styleId="CharChar1">
    <w:name w:val="Char Char1"/>
    <w:basedOn w:val="Normal"/>
    <w:pPr>
      <w:spacing w:after="160" w:line="240" w:lineRule="exact"/>
    </w:pPr>
    <w:rPr>
      <w:rFonts w:ascii="Verdana" w:hAnsi="Verdana" w:cs="Verdana"/>
      <w:sz w:val="20"/>
      <w:szCs w:val="20"/>
    </w:rPr>
  </w:style>
  <w:style w:type="character" w:customStyle="1" w:styleId="Bodytext30">
    <w:name w:val="Body text (3)_"/>
    <w:link w:val="Bodytext31"/>
    <w:uiPriority w:val="99"/>
    <w:locked/>
    <w:rPr>
      <w:i/>
      <w:iCs/>
      <w:sz w:val="26"/>
      <w:szCs w:val="26"/>
      <w:shd w:val="clear" w:color="auto" w:fill="FFFFFF"/>
    </w:rPr>
  </w:style>
  <w:style w:type="paragraph" w:customStyle="1" w:styleId="Bodytext31">
    <w:name w:val="Body text (3)"/>
    <w:basedOn w:val="Normal"/>
    <w:link w:val="Bodytext30"/>
    <w:uiPriority w:val="99"/>
    <w:pPr>
      <w:widowControl w:val="0"/>
      <w:shd w:val="clear" w:color="auto" w:fill="FFFFFF"/>
      <w:spacing w:before="260" w:after="480" w:line="288" w:lineRule="exact"/>
      <w:jc w:val="center"/>
    </w:pPr>
    <w:rPr>
      <w:rFonts w:ascii="Times New Roman" w:hAnsi="Times New Roman"/>
      <w:i/>
      <w:iCs/>
      <w:sz w:val="26"/>
      <w:szCs w:val="26"/>
    </w:rPr>
  </w:style>
  <w:style w:type="character" w:customStyle="1" w:styleId="fontstyle01">
    <w:name w:val="fontstyle01"/>
    <w:rPr>
      <w:rFonts w:ascii="Times New Roman" w:hAnsi="Times New Roman"/>
      <w:b/>
      <w:bCs/>
      <w:i/>
      <w:iCs/>
      <w:color w:val="000000"/>
      <w:sz w:val="28"/>
      <w:szCs w:val="28"/>
    </w:rPr>
  </w:style>
  <w:style w:type="character" w:styleId="Strong">
    <w:name w:val="Strong"/>
    <w:uiPriority w:val="22"/>
    <w:qFormat/>
    <w:rPr>
      <w:b/>
      <w:bCs/>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paragraph" w:styleId="BodyText2">
    <w:name w:val="Body Text 2"/>
    <w:basedOn w:val="Normal"/>
    <w:link w:val="BodyText2Char"/>
    <w:uiPriority w:val="99"/>
    <w:unhideWhenUsed/>
    <w:pPr>
      <w:spacing w:after="120" w:line="480" w:lineRule="auto"/>
    </w:pPr>
    <w:rPr>
      <w:rFonts w:ascii="Times New Roman" w:eastAsia="Calibri" w:hAnsi="Times New Roman"/>
      <w:szCs w:val="22"/>
    </w:rPr>
  </w:style>
  <w:style w:type="character" w:customStyle="1" w:styleId="BodyText2Char">
    <w:name w:val="Body Text 2 Char"/>
    <w:link w:val="BodyText2"/>
    <w:uiPriority w:val="99"/>
    <w:rPr>
      <w:rFonts w:eastAsia="Calibri"/>
      <w:sz w:val="24"/>
      <w:szCs w:val="22"/>
    </w:rPr>
  </w:style>
  <w:style w:type="character" w:customStyle="1" w:styleId="fontstyle21">
    <w:name w:val="fontstyle21"/>
    <w:rPr>
      <w:rFonts w:ascii="TimesNewRomanPSMT" w:hAnsi="TimesNewRomanPSMT" w:hint="default"/>
      <w:b w:val="0"/>
      <w:bCs w:val="0"/>
      <w:i w:val="0"/>
      <w:iCs w:val="0"/>
      <w:color w:val="000000"/>
      <w:sz w:val="28"/>
      <w:szCs w:val="28"/>
    </w:rPr>
  </w:style>
  <w:style w:type="character" w:customStyle="1" w:styleId="fontstyle31">
    <w:name w:val="fontstyle31"/>
    <w:rPr>
      <w:rFonts w:ascii="TimesNewRomanPS-BoldItalicMT" w:hAnsi="TimesNewRomanPS-BoldItalicMT" w:hint="default"/>
      <w:b/>
      <w:bCs/>
      <w:i/>
      <w:iCs/>
      <w:color w:val="000000"/>
      <w:sz w:val="28"/>
      <w:szCs w:val="28"/>
    </w:rPr>
  </w:style>
  <w:style w:type="paragraph" w:customStyle="1" w:styleId="isselectedend">
    <w:name w:val="isselectedend"/>
    <w:basedOn w:val="Normal"/>
    <w:pPr>
      <w:spacing w:before="100" w:beforeAutospacing="1" w:after="100" w:afterAutospacing="1"/>
    </w:pPr>
    <w:rPr>
      <w:rFonts w:ascii="Times New Roman" w:hAnsi="Times New Roman"/>
    </w:rPr>
  </w:style>
  <w:style w:type="paragraph" w:customStyle="1" w:styleId="pdq2pgselectionanchorcontainer">
    <w:name w:val="pdq2pg_selectionanchorcontainer"/>
    <w:basedOn w:val="Normal"/>
    <w:pPr>
      <w:spacing w:before="100" w:beforeAutospacing="1" w:after="100" w:afterAutospacing="1"/>
    </w:pPr>
    <w:rPr>
      <w:rFonts w:ascii="Times New Roman" w:hAnsi="Times New Roman"/>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VnTime" w:hAnsi=".VnTime"/>
      <w:sz w:val="24"/>
      <w:szCs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4"/>
      <w:szCs w:val="24"/>
    </w:rPr>
  </w:style>
  <w:style w:type="paragraph" w:styleId="Heading1">
    <w:name w:val="heading 1"/>
    <w:basedOn w:val="Normal"/>
    <w:next w:val="Normal"/>
    <w:qFormat/>
    <w:pPr>
      <w:keepNext/>
      <w:outlineLvl w:val="0"/>
    </w:pPr>
    <w:rPr>
      <w:b/>
      <w:sz w:val="32"/>
      <w:szCs w:val="20"/>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cs="Verdana"/>
      <w:sz w:val="20"/>
      <w:szCs w:val="20"/>
    </w:rPr>
  </w:style>
  <w:style w:type="character" w:customStyle="1" w:styleId="BodyTextIndentChar">
    <w:name w:val="Body Text Indent Char"/>
    <w:link w:val="BodyTextIndent"/>
    <w:locked/>
    <w:rPr>
      <w:rFonts w:ascii=".VnTime" w:hAnsi=".VnTime"/>
      <w:color w:val="000000"/>
      <w:kern w:val="16"/>
      <w:sz w:val="28"/>
      <w:lang w:val="en-US" w:eastAsia="en-US" w:bidi="ar-SA"/>
    </w:rPr>
  </w:style>
  <w:style w:type="paragraph" w:styleId="BodyTextIndent">
    <w:name w:val="Body Text Indent"/>
    <w:basedOn w:val="Normal"/>
    <w:link w:val="BodyTextIndentChar"/>
    <w:pPr>
      <w:ind w:firstLine="567"/>
    </w:pPr>
    <w:rPr>
      <w:color w:val="000000"/>
      <w:kern w:val="16"/>
      <w:sz w:val="28"/>
      <w:szCs w:val="20"/>
    </w:rPr>
  </w:style>
  <w:style w:type="paragraph" w:customStyle="1" w:styleId="CharCharCharCharCharCharChar">
    <w:name w:val="Char Char Char Char Char Char Char"/>
    <w:basedOn w:val="Normal"/>
    <w:pPr>
      <w:spacing w:after="160" w:line="240" w:lineRule="exact"/>
    </w:pPr>
    <w:rPr>
      <w:rFonts w:ascii="Tahoma" w:eastAsia="PMingLiU" w:hAnsi="Tahoma"/>
      <w:sz w:val="20"/>
      <w:szCs w:val="20"/>
    </w:rPr>
  </w:style>
  <w:style w:type="paragraph" w:styleId="BodyText">
    <w:name w:val="Body Text"/>
    <w:basedOn w:val="Normal"/>
    <w:pPr>
      <w:spacing w:after="120"/>
    </w:pPr>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paragraph" w:styleId="Title">
    <w:name w:val="Title"/>
    <w:basedOn w:val="Normal"/>
    <w:next w:val="Normal"/>
    <w:qFormat/>
    <w:pPr>
      <w:spacing w:before="240" w:after="60"/>
      <w:jc w:val="center"/>
      <w:outlineLvl w:val="0"/>
    </w:pPr>
    <w:rPr>
      <w:rFonts w:ascii="Cambria" w:hAnsi="Cambria"/>
      <w:b/>
      <w:bCs/>
      <w:kern w:val="28"/>
      <w:sz w:val="32"/>
      <w:szCs w:val="32"/>
    </w:rPr>
  </w:style>
  <w:style w:type="paragraph" w:styleId="BodyTextIndent2">
    <w:name w:val="Body Text Indent 2"/>
    <w:basedOn w:val="Normal"/>
    <w:pPr>
      <w:spacing w:after="120" w:line="480" w:lineRule="auto"/>
      <w:ind w:left="360"/>
    </w:pPr>
    <w:rPr>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VnTime" w:hAnsi=".VnTime"/>
      <w:sz w:val="16"/>
      <w:szCs w:val="16"/>
      <w:lang w:val="en-US" w:eastAsia="en-US" w:bidi="ar-SA"/>
    </w:rPr>
  </w:style>
  <w:style w:type="paragraph" w:customStyle="1" w:styleId="Style2">
    <w:name w:val="Style2"/>
    <w:basedOn w:val="Normal"/>
    <w:autoRedefine/>
    <w:pPr>
      <w:spacing w:before="135" w:after="90"/>
      <w:ind w:firstLine="720"/>
      <w:jc w:val="both"/>
    </w:pPr>
    <w:rPr>
      <w:rFonts w:ascii="Times New Roman" w:hAnsi="Times New Roman"/>
      <w:b/>
      <w:sz w:val="28"/>
      <w:szCs w:val="28"/>
      <w:lang w:val="vi-VN" w:eastAsia="vi-VN"/>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harChar1CharCharCharChar">
    <w:name w:val="Char Char1 Char Char Char Char"/>
    <w:basedOn w:val="Normal"/>
    <w:pPr>
      <w:spacing w:after="160" w:line="240" w:lineRule="exact"/>
    </w:pPr>
    <w:rPr>
      <w:rFonts w:ascii="Verdana" w:hAnsi="Verdana" w:cs="Verdana"/>
      <w:sz w:val="20"/>
      <w:szCs w:val="20"/>
    </w:rPr>
  </w:style>
  <w:style w:type="paragraph" w:customStyle="1" w:styleId="CharChar1">
    <w:name w:val="Char Char1"/>
    <w:basedOn w:val="Normal"/>
    <w:pPr>
      <w:spacing w:after="160" w:line="240" w:lineRule="exact"/>
    </w:pPr>
    <w:rPr>
      <w:rFonts w:ascii="Verdana" w:hAnsi="Verdana" w:cs="Verdana"/>
      <w:sz w:val="20"/>
      <w:szCs w:val="20"/>
    </w:rPr>
  </w:style>
  <w:style w:type="character" w:customStyle="1" w:styleId="Bodytext30">
    <w:name w:val="Body text (3)_"/>
    <w:link w:val="Bodytext31"/>
    <w:uiPriority w:val="99"/>
    <w:locked/>
    <w:rPr>
      <w:i/>
      <w:iCs/>
      <w:sz w:val="26"/>
      <w:szCs w:val="26"/>
      <w:shd w:val="clear" w:color="auto" w:fill="FFFFFF"/>
    </w:rPr>
  </w:style>
  <w:style w:type="paragraph" w:customStyle="1" w:styleId="Bodytext31">
    <w:name w:val="Body text (3)"/>
    <w:basedOn w:val="Normal"/>
    <w:link w:val="Bodytext30"/>
    <w:uiPriority w:val="99"/>
    <w:pPr>
      <w:widowControl w:val="0"/>
      <w:shd w:val="clear" w:color="auto" w:fill="FFFFFF"/>
      <w:spacing w:before="260" w:after="480" w:line="288" w:lineRule="exact"/>
      <w:jc w:val="center"/>
    </w:pPr>
    <w:rPr>
      <w:rFonts w:ascii="Times New Roman" w:hAnsi="Times New Roman"/>
      <w:i/>
      <w:iCs/>
      <w:sz w:val="26"/>
      <w:szCs w:val="26"/>
    </w:rPr>
  </w:style>
  <w:style w:type="character" w:customStyle="1" w:styleId="fontstyle01">
    <w:name w:val="fontstyle01"/>
    <w:rPr>
      <w:rFonts w:ascii="Times New Roman" w:hAnsi="Times New Roman"/>
      <w:b/>
      <w:bCs/>
      <w:i/>
      <w:iCs/>
      <w:color w:val="000000"/>
      <w:sz w:val="28"/>
      <w:szCs w:val="28"/>
    </w:rPr>
  </w:style>
  <w:style w:type="character" w:styleId="Strong">
    <w:name w:val="Strong"/>
    <w:uiPriority w:val="22"/>
    <w:qFormat/>
    <w:rPr>
      <w:b/>
      <w:bCs/>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paragraph" w:styleId="BodyText2">
    <w:name w:val="Body Text 2"/>
    <w:basedOn w:val="Normal"/>
    <w:link w:val="BodyText2Char"/>
    <w:uiPriority w:val="99"/>
    <w:unhideWhenUsed/>
    <w:pPr>
      <w:spacing w:after="120" w:line="480" w:lineRule="auto"/>
    </w:pPr>
    <w:rPr>
      <w:rFonts w:ascii="Times New Roman" w:eastAsia="Calibri" w:hAnsi="Times New Roman"/>
      <w:szCs w:val="22"/>
    </w:rPr>
  </w:style>
  <w:style w:type="character" w:customStyle="1" w:styleId="BodyText2Char">
    <w:name w:val="Body Text 2 Char"/>
    <w:link w:val="BodyText2"/>
    <w:uiPriority w:val="99"/>
    <w:rPr>
      <w:rFonts w:eastAsia="Calibri"/>
      <w:sz w:val="24"/>
      <w:szCs w:val="22"/>
    </w:rPr>
  </w:style>
  <w:style w:type="character" w:customStyle="1" w:styleId="fontstyle21">
    <w:name w:val="fontstyle21"/>
    <w:rPr>
      <w:rFonts w:ascii="TimesNewRomanPSMT" w:hAnsi="TimesNewRomanPSMT" w:hint="default"/>
      <w:b w:val="0"/>
      <w:bCs w:val="0"/>
      <w:i w:val="0"/>
      <w:iCs w:val="0"/>
      <w:color w:val="000000"/>
      <w:sz w:val="28"/>
      <w:szCs w:val="28"/>
    </w:rPr>
  </w:style>
  <w:style w:type="character" w:customStyle="1" w:styleId="fontstyle31">
    <w:name w:val="fontstyle31"/>
    <w:rPr>
      <w:rFonts w:ascii="TimesNewRomanPS-BoldItalicMT" w:hAnsi="TimesNewRomanPS-BoldItalicMT" w:hint="default"/>
      <w:b/>
      <w:bCs/>
      <w:i/>
      <w:iCs/>
      <w:color w:val="000000"/>
      <w:sz w:val="28"/>
      <w:szCs w:val="28"/>
    </w:rPr>
  </w:style>
  <w:style w:type="paragraph" w:customStyle="1" w:styleId="isselectedend">
    <w:name w:val="isselectedend"/>
    <w:basedOn w:val="Normal"/>
    <w:pPr>
      <w:spacing w:before="100" w:beforeAutospacing="1" w:after="100" w:afterAutospacing="1"/>
    </w:pPr>
    <w:rPr>
      <w:rFonts w:ascii="Times New Roman" w:hAnsi="Times New Roman"/>
    </w:rPr>
  </w:style>
  <w:style w:type="paragraph" w:customStyle="1" w:styleId="pdq2pgselectionanchorcontainer">
    <w:name w:val="pdq2pg_selectionanchorcontainer"/>
    <w:basedOn w:val="Normal"/>
    <w:pPr>
      <w:spacing w:before="100" w:beforeAutospacing="1" w:after="100" w:afterAutospacing="1"/>
    </w:pPr>
    <w:rPr>
      <w:rFonts w:ascii="Times New Roman" w:hAnsi="Times New Roman"/>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VnTime" w:hAnsi=".VnTime"/>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61">
      <w:bodyDiv w:val="1"/>
      <w:marLeft w:val="0"/>
      <w:marRight w:val="0"/>
      <w:marTop w:val="0"/>
      <w:marBottom w:val="0"/>
      <w:divBdr>
        <w:top w:val="none" w:sz="0" w:space="0" w:color="auto"/>
        <w:left w:val="none" w:sz="0" w:space="0" w:color="auto"/>
        <w:bottom w:val="none" w:sz="0" w:space="0" w:color="auto"/>
        <w:right w:val="none" w:sz="0" w:space="0" w:color="auto"/>
      </w:divBdr>
    </w:div>
    <w:div w:id="380642323">
      <w:bodyDiv w:val="1"/>
      <w:marLeft w:val="0"/>
      <w:marRight w:val="0"/>
      <w:marTop w:val="0"/>
      <w:marBottom w:val="0"/>
      <w:divBdr>
        <w:top w:val="none" w:sz="0" w:space="0" w:color="auto"/>
        <w:left w:val="none" w:sz="0" w:space="0" w:color="auto"/>
        <w:bottom w:val="none" w:sz="0" w:space="0" w:color="auto"/>
        <w:right w:val="none" w:sz="0" w:space="0" w:color="auto"/>
      </w:divBdr>
    </w:div>
    <w:div w:id="413820657">
      <w:bodyDiv w:val="1"/>
      <w:marLeft w:val="0"/>
      <w:marRight w:val="0"/>
      <w:marTop w:val="0"/>
      <w:marBottom w:val="0"/>
      <w:divBdr>
        <w:top w:val="none" w:sz="0" w:space="0" w:color="auto"/>
        <w:left w:val="none" w:sz="0" w:space="0" w:color="auto"/>
        <w:bottom w:val="none" w:sz="0" w:space="0" w:color="auto"/>
        <w:right w:val="none" w:sz="0" w:space="0" w:color="auto"/>
      </w:divBdr>
    </w:div>
    <w:div w:id="460464816">
      <w:bodyDiv w:val="1"/>
      <w:marLeft w:val="0"/>
      <w:marRight w:val="0"/>
      <w:marTop w:val="0"/>
      <w:marBottom w:val="0"/>
      <w:divBdr>
        <w:top w:val="none" w:sz="0" w:space="0" w:color="auto"/>
        <w:left w:val="none" w:sz="0" w:space="0" w:color="auto"/>
        <w:bottom w:val="none" w:sz="0" w:space="0" w:color="auto"/>
        <w:right w:val="none" w:sz="0" w:space="0" w:color="auto"/>
      </w:divBdr>
    </w:div>
    <w:div w:id="574557329">
      <w:bodyDiv w:val="1"/>
      <w:marLeft w:val="0"/>
      <w:marRight w:val="0"/>
      <w:marTop w:val="0"/>
      <w:marBottom w:val="0"/>
      <w:divBdr>
        <w:top w:val="none" w:sz="0" w:space="0" w:color="auto"/>
        <w:left w:val="none" w:sz="0" w:space="0" w:color="auto"/>
        <w:bottom w:val="none" w:sz="0" w:space="0" w:color="auto"/>
        <w:right w:val="none" w:sz="0" w:space="0" w:color="auto"/>
      </w:divBdr>
    </w:div>
    <w:div w:id="579481483">
      <w:bodyDiv w:val="1"/>
      <w:marLeft w:val="0"/>
      <w:marRight w:val="0"/>
      <w:marTop w:val="0"/>
      <w:marBottom w:val="0"/>
      <w:divBdr>
        <w:top w:val="none" w:sz="0" w:space="0" w:color="auto"/>
        <w:left w:val="none" w:sz="0" w:space="0" w:color="auto"/>
        <w:bottom w:val="none" w:sz="0" w:space="0" w:color="auto"/>
        <w:right w:val="none" w:sz="0" w:space="0" w:color="auto"/>
      </w:divBdr>
    </w:div>
    <w:div w:id="669068481">
      <w:bodyDiv w:val="1"/>
      <w:marLeft w:val="0"/>
      <w:marRight w:val="0"/>
      <w:marTop w:val="0"/>
      <w:marBottom w:val="0"/>
      <w:divBdr>
        <w:top w:val="none" w:sz="0" w:space="0" w:color="auto"/>
        <w:left w:val="none" w:sz="0" w:space="0" w:color="auto"/>
        <w:bottom w:val="none" w:sz="0" w:space="0" w:color="auto"/>
        <w:right w:val="none" w:sz="0" w:space="0" w:color="auto"/>
      </w:divBdr>
    </w:div>
    <w:div w:id="703212668">
      <w:bodyDiv w:val="1"/>
      <w:marLeft w:val="0"/>
      <w:marRight w:val="0"/>
      <w:marTop w:val="0"/>
      <w:marBottom w:val="0"/>
      <w:divBdr>
        <w:top w:val="none" w:sz="0" w:space="0" w:color="auto"/>
        <w:left w:val="none" w:sz="0" w:space="0" w:color="auto"/>
        <w:bottom w:val="none" w:sz="0" w:space="0" w:color="auto"/>
        <w:right w:val="none" w:sz="0" w:space="0" w:color="auto"/>
      </w:divBdr>
    </w:div>
    <w:div w:id="1206598325">
      <w:bodyDiv w:val="1"/>
      <w:marLeft w:val="0"/>
      <w:marRight w:val="0"/>
      <w:marTop w:val="0"/>
      <w:marBottom w:val="0"/>
      <w:divBdr>
        <w:top w:val="none" w:sz="0" w:space="0" w:color="auto"/>
        <w:left w:val="none" w:sz="0" w:space="0" w:color="auto"/>
        <w:bottom w:val="none" w:sz="0" w:space="0" w:color="auto"/>
        <w:right w:val="none" w:sz="0" w:space="0" w:color="auto"/>
      </w:divBdr>
    </w:div>
    <w:div w:id="1387990158">
      <w:bodyDiv w:val="1"/>
      <w:marLeft w:val="0"/>
      <w:marRight w:val="0"/>
      <w:marTop w:val="0"/>
      <w:marBottom w:val="0"/>
      <w:divBdr>
        <w:top w:val="none" w:sz="0" w:space="0" w:color="auto"/>
        <w:left w:val="none" w:sz="0" w:space="0" w:color="auto"/>
        <w:bottom w:val="none" w:sz="0" w:space="0" w:color="auto"/>
        <w:right w:val="none" w:sz="0" w:space="0" w:color="auto"/>
      </w:divBdr>
    </w:div>
    <w:div w:id="1670012553">
      <w:bodyDiv w:val="1"/>
      <w:marLeft w:val="0"/>
      <w:marRight w:val="0"/>
      <w:marTop w:val="0"/>
      <w:marBottom w:val="0"/>
      <w:divBdr>
        <w:top w:val="none" w:sz="0" w:space="0" w:color="auto"/>
        <w:left w:val="none" w:sz="0" w:space="0" w:color="auto"/>
        <w:bottom w:val="none" w:sz="0" w:space="0" w:color="auto"/>
        <w:right w:val="none" w:sz="0" w:space="0" w:color="auto"/>
      </w:divBdr>
    </w:div>
    <w:div w:id="2131705029">
      <w:bodyDiv w:val="1"/>
      <w:marLeft w:val="0"/>
      <w:marRight w:val="0"/>
      <w:marTop w:val="0"/>
      <w:marBottom w:val="0"/>
      <w:divBdr>
        <w:top w:val="none" w:sz="0" w:space="0" w:color="auto"/>
        <w:left w:val="none" w:sz="0" w:space="0" w:color="auto"/>
        <w:bottom w:val="none" w:sz="0" w:space="0" w:color="auto"/>
        <w:right w:val="none" w:sz="0" w:space="0" w:color="auto"/>
      </w:divBdr>
      <w:divsChild>
        <w:div w:id="1514878058">
          <w:marLeft w:val="0"/>
          <w:marRight w:val="0"/>
          <w:marTop w:val="0"/>
          <w:marBottom w:val="0"/>
          <w:divBdr>
            <w:top w:val="none" w:sz="0" w:space="0" w:color="auto"/>
            <w:left w:val="none" w:sz="0" w:space="0" w:color="auto"/>
            <w:bottom w:val="none" w:sz="0" w:space="0" w:color="auto"/>
            <w:right w:val="none" w:sz="0" w:space="0" w:color="auto"/>
          </w:divBdr>
        </w:div>
        <w:div w:id="1739287169">
          <w:marLeft w:val="0"/>
          <w:marRight w:val="0"/>
          <w:marTop w:val="0"/>
          <w:marBottom w:val="0"/>
          <w:divBdr>
            <w:top w:val="none" w:sz="0" w:space="0" w:color="auto"/>
            <w:left w:val="none" w:sz="0" w:space="0" w:color="auto"/>
            <w:bottom w:val="none" w:sz="0" w:space="0" w:color="auto"/>
            <w:right w:val="none" w:sz="0" w:space="0" w:color="auto"/>
          </w:divBdr>
        </w:div>
        <w:div w:id="2124684807">
          <w:marLeft w:val="0"/>
          <w:marRight w:val="0"/>
          <w:marTop w:val="0"/>
          <w:marBottom w:val="0"/>
          <w:divBdr>
            <w:top w:val="none" w:sz="0" w:space="0" w:color="auto"/>
            <w:left w:val="none" w:sz="0" w:space="0" w:color="auto"/>
            <w:bottom w:val="none" w:sz="0" w:space="0" w:color="auto"/>
            <w:right w:val="none" w:sz="0" w:space="0" w:color="auto"/>
          </w:divBdr>
        </w:div>
        <w:div w:id="2026470234">
          <w:marLeft w:val="0"/>
          <w:marRight w:val="0"/>
          <w:marTop w:val="0"/>
          <w:marBottom w:val="0"/>
          <w:divBdr>
            <w:top w:val="none" w:sz="0" w:space="0" w:color="auto"/>
            <w:left w:val="none" w:sz="0" w:space="0" w:color="auto"/>
            <w:bottom w:val="none" w:sz="0" w:space="0" w:color="auto"/>
            <w:right w:val="none" w:sz="0" w:space="0" w:color="auto"/>
          </w:divBdr>
        </w:div>
        <w:div w:id="140195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3618</Words>
  <Characters>20626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UBND TỈNH THANH HOÁ</vt:lpstr>
    </vt:vector>
  </TitlesOfParts>
  <Company/>
  <LinksUpToDate>false</LinksUpToDate>
  <CharactersWithSpaces>24196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THANH HOÁ</dc:title>
  <dc:creator>chung</dc:creator>
  <cp:lastModifiedBy>os</cp:lastModifiedBy>
  <cp:revision>2</cp:revision>
  <cp:lastPrinted>2018-04-12T02:53:00Z</cp:lastPrinted>
  <dcterms:created xsi:type="dcterms:W3CDTF">2026-09-22T03:00:00Z</dcterms:created>
  <dcterms:modified xsi:type="dcterms:W3CDTF">2026-09-22T03:00:00Z</dcterms:modified>
</cp:coreProperties>
</file>