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511"/>
        <w:gridCol w:w="5777"/>
      </w:tblGrid>
      <w:tr>
        <w:tc>
          <w:tcPr>
            <w:tcW w:w="1890" w:type="pct"/>
          </w:tcPr>
          <w:p>
            <w:pPr>
              <w:ind w:firstLine="0"/>
              <w:jc w:val="center"/>
              <w:rPr>
                <w:rFonts w:cs="Times New Roman"/>
                <w:b/>
                <w:color w:val="auto"/>
                <w:sz w:val="26"/>
                <w:szCs w:val="26"/>
              </w:rPr>
            </w:pPr>
            <w:bookmarkStart w:id="0" w:name="_GoBack"/>
            <w:bookmarkEnd w:id="0"/>
            <w:r>
              <w:rPr>
                <w:rFonts w:cs="Times New Roman"/>
                <w:b/>
                <w:color w:val="auto"/>
                <w:sz w:val="26"/>
                <w:szCs w:val="26"/>
              </w:rPr>
              <w:t xml:space="preserve">HỘI ĐỒNG NHÂN DÂN TỈNH </w:t>
            </w:r>
            <w:r>
              <w:rPr>
                <w:rFonts w:cs="Times New Roman"/>
                <w:b/>
                <w:color w:val="auto"/>
                <w:sz w:val="26"/>
                <w:szCs w:val="26"/>
                <w:lang w:val="en-US"/>
              </w:rPr>
              <w:t>THANH HÓA</w:t>
            </w:r>
            <w:r>
              <w:rPr>
                <w:rFonts w:cs="Times New Roman"/>
                <w:b/>
                <w:color w:val="auto"/>
                <w:sz w:val="26"/>
                <w:szCs w:val="26"/>
              </w:rPr>
              <w:br/>
              <w:t>-------</w:t>
            </w:r>
          </w:p>
        </w:tc>
        <w:tc>
          <w:tcPr>
            <w:tcW w:w="3110" w:type="pct"/>
          </w:tcPr>
          <w:p>
            <w:pPr>
              <w:ind w:firstLine="0"/>
              <w:jc w:val="center"/>
              <w:rPr>
                <w:rFonts w:cs="Times New Roman"/>
                <w:b/>
                <w:color w:val="auto"/>
                <w:sz w:val="20"/>
              </w:rPr>
            </w:pPr>
            <w:r>
              <w:rPr>
                <w:rFonts w:cs="Times New Roman"/>
                <w:b/>
                <w:color w:val="auto"/>
                <w:sz w:val="24"/>
              </w:rPr>
              <w:t>CỘNG HÒA XÃ HỘI CHỦ NGHĨA VIỆT NAM</w:t>
            </w:r>
            <w:r>
              <w:rPr>
                <w:rFonts w:cs="Times New Roman"/>
                <w:b/>
                <w:color w:val="auto"/>
                <w:sz w:val="20"/>
              </w:rPr>
              <w:br/>
            </w:r>
            <w:r>
              <w:rPr>
                <w:rFonts w:cs="Times New Roman"/>
                <w:b/>
                <w:color w:val="auto"/>
                <w:sz w:val="26"/>
                <w:szCs w:val="26"/>
              </w:rPr>
              <w:t>Độc lập - Tự do - Hạnh phúc</w:t>
            </w:r>
            <w:r>
              <w:rPr>
                <w:rFonts w:cs="Times New Roman"/>
                <w:b/>
                <w:color w:val="auto"/>
                <w:sz w:val="20"/>
              </w:rPr>
              <w:t xml:space="preserve"> </w:t>
            </w:r>
            <w:r>
              <w:rPr>
                <w:rFonts w:cs="Times New Roman"/>
                <w:b/>
                <w:color w:val="auto"/>
                <w:sz w:val="20"/>
              </w:rPr>
              <w:br/>
              <w:t>---------------</w:t>
            </w:r>
          </w:p>
        </w:tc>
      </w:tr>
      <w:tr>
        <w:tc>
          <w:tcPr>
            <w:tcW w:w="1890" w:type="pct"/>
          </w:tcPr>
          <w:p>
            <w:pPr>
              <w:jc w:val="center"/>
              <w:rPr>
                <w:rFonts w:cs="Times New Roman"/>
                <w:color w:val="auto"/>
                <w:sz w:val="26"/>
                <w:szCs w:val="26"/>
              </w:rPr>
            </w:pPr>
            <w:r>
              <w:rPr>
                <w:rFonts w:cs="Times New Roman"/>
                <w:color w:val="auto"/>
                <w:sz w:val="26"/>
                <w:szCs w:val="26"/>
              </w:rPr>
              <w:t>Số:…</w:t>
            </w:r>
            <w:r>
              <w:rPr>
                <w:rFonts w:cs="Times New Roman"/>
                <w:color w:val="auto"/>
                <w:sz w:val="26"/>
                <w:szCs w:val="26"/>
                <w:lang w:val="en-US"/>
              </w:rPr>
              <w:t>.</w:t>
            </w:r>
            <w:r>
              <w:rPr>
                <w:rFonts w:cs="Times New Roman"/>
                <w:color w:val="auto"/>
                <w:sz w:val="26"/>
                <w:szCs w:val="26"/>
              </w:rPr>
              <w:t>./20</w:t>
            </w:r>
            <w:r>
              <w:rPr>
                <w:rFonts w:cs="Times New Roman"/>
                <w:color w:val="auto"/>
                <w:sz w:val="26"/>
                <w:szCs w:val="26"/>
                <w:lang w:val="en-US"/>
              </w:rPr>
              <w:t>26/</w:t>
            </w:r>
            <w:r>
              <w:rPr>
                <w:rFonts w:cs="Times New Roman"/>
                <w:color w:val="auto"/>
                <w:sz w:val="26"/>
                <w:szCs w:val="26"/>
              </w:rPr>
              <w:t>NQ-HĐND</w:t>
            </w:r>
          </w:p>
        </w:tc>
        <w:tc>
          <w:tcPr>
            <w:tcW w:w="3110" w:type="pct"/>
          </w:tcPr>
          <w:p>
            <w:pPr>
              <w:jc w:val="right"/>
              <w:rPr>
                <w:rFonts w:cs="Times New Roman"/>
                <w:i/>
                <w:color w:val="auto"/>
                <w:sz w:val="26"/>
                <w:szCs w:val="26"/>
                <w:lang w:val="en-US"/>
              </w:rPr>
            </w:pPr>
            <w:r>
              <w:rPr>
                <w:rFonts w:cs="Times New Roman"/>
                <w:i/>
                <w:color w:val="auto"/>
                <w:sz w:val="26"/>
                <w:szCs w:val="26"/>
                <w:lang w:val="en-US"/>
              </w:rPr>
              <w:t>Thanh Hóa</w:t>
            </w:r>
            <w:r>
              <w:rPr>
                <w:rFonts w:cs="Times New Roman"/>
                <w:i/>
                <w:color w:val="auto"/>
                <w:sz w:val="26"/>
                <w:szCs w:val="26"/>
              </w:rPr>
              <w:t>, ngày</w:t>
            </w:r>
            <w:r>
              <w:rPr>
                <w:rFonts w:cs="Times New Roman"/>
                <w:i/>
                <w:color w:val="auto"/>
                <w:sz w:val="26"/>
                <w:szCs w:val="26"/>
                <w:lang w:val="en-US"/>
              </w:rPr>
              <w:t xml:space="preserve"> … </w:t>
            </w:r>
            <w:r>
              <w:rPr>
                <w:rFonts w:cs="Times New Roman"/>
                <w:i/>
                <w:color w:val="auto"/>
                <w:sz w:val="26"/>
                <w:szCs w:val="26"/>
              </w:rPr>
              <w:t>tháng</w:t>
            </w:r>
            <w:r>
              <w:rPr>
                <w:rFonts w:cs="Times New Roman"/>
                <w:i/>
                <w:color w:val="auto"/>
                <w:sz w:val="26"/>
                <w:szCs w:val="26"/>
                <w:lang w:val="en-US"/>
              </w:rPr>
              <w:t xml:space="preserve"> … </w:t>
            </w:r>
            <w:r>
              <w:rPr>
                <w:rFonts w:cs="Times New Roman"/>
                <w:i/>
                <w:color w:val="auto"/>
                <w:sz w:val="26"/>
                <w:szCs w:val="26"/>
              </w:rPr>
              <w:t>năm 20</w:t>
            </w:r>
            <w:r>
              <w:rPr>
                <w:rFonts w:cs="Times New Roman"/>
                <w:i/>
                <w:color w:val="auto"/>
                <w:sz w:val="26"/>
                <w:szCs w:val="26"/>
                <w:lang w:val="en-US"/>
              </w:rPr>
              <w:t>26</w:t>
            </w:r>
          </w:p>
        </w:tc>
      </w:tr>
    </w:tbl>
    <w:p>
      <w:pPr>
        <w:rPr>
          <w:rFonts w:cs="Times New Roman"/>
          <w:b/>
          <w:color w:val="auto"/>
          <w:sz w:val="20"/>
          <w:szCs w:val="20"/>
          <w:lang w:val="en-US"/>
        </w:rPr>
      </w:pPr>
      <w:r>
        <w:rPr>
          <w:rFonts w:cs="Times New Roman"/>
          <w:b/>
          <w:noProof/>
          <w:color w:val="auto"/>
          <w:sz w:val="20"/>
          <w:szCs w:val="20"/>
          <w:lang w:val="en-US" w:eastAsia="en-US"/>
        </w:rPr>
        <mc:AlternateContent>
          <mc:Choice Requires="wps">
            <w:drawing>
              <wp:anchor distT="0" distB="0" distL="114300" distR="114300" simplePos="0" relativeHeight="251660288" behindDoc="0" locked="0" layoutInCell="1" allowOverlap="1">
                <wp:simplePos x="0" y="0"/>
                <wp:positionH relativeFrom="column">
                  <wp:posOffset>-612445</wp:posOffset>
                </wp:positionH>
                <wp:positionV relativeFrom="paragraph">
                  <wp:posOffset>64821</wp:posOffset>
                </wp:positionV>
                <wp:extent cx="1060704" cy="394004"/>
                <wp:effectExtent l="0" t="0" r="25400" b="25400"/>
                <wp:wrapNone/>
                <wp:docPr id="2" name="Rectangle 2"/>
                <wp:cNvGraphicFramePr/>
                <a:graphic xmlns:a="http://schemas.openxmlformats.org/drawingml/2006/main">
                  <a:graphicData uri="http://schemas.microsoft.com/office/word/2010/wordprocessingShape">
                    <wps:wsp>
                      <wps:cNvSpPr/>
                      <wps:spPr>
                        <a:xfrm>
                          <a:off x="0" y="0"/>
                          <a:ext cx="1060704" cy="394004"/>
                        </a:xfrm>
                        <a:prstGeom prst="rect">
                          <a:avLst/>
                        </a:prstGeom>
                      </wps:spPr>
                      <wps:style>
                        <a:lnRef idx="2">
                          <a:schemeClr val="dk1"/>
                        </a:lnRef>
                        <a:fillRef idx="1">
                          <a:schemeClr val="lt1"/>
                        </a:fillRef>
                        <a:effectRef idx="0">
                          <a:schemeClr val="dk1"/>
                        </a:effectRef>
                        <a:fontRef idx="minor">
                          <a:schemeClr val="dk1"/>
                        </a:fontRef>
                      </wps:style>
                      <wps:txbx>
                        <w:txbxContent>
                          <w:p>
                            <w:pPr>
                              <w:ind w:firstLine="0"/>
                              <w:jc w:val="center"/>
                              <w:rPr>
                                <w:b/>
                                <w:bCs/>
                                <w:lang w:val="en-US"/>
                              </w:rPr>
                            </w:pPr>
                            <w:r>
                              <w:rPr>
                                <w:b/>
                                <w:bCs/>
                                <w:lang w:val="en-US"/>
                              </w:rPr>
                              <w:t>DỰ THẢO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995B8DF" id="Rectangle 2" o:spid="_x0000_s1026" style="position:absolute;left:0;text-align:left;margin-left:-48.2pt;margin-top:5.1pt;width:83.5pt;height:3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" fillcolor="white [3201]" strokecolor="black [3200]" strokeweight="1pt">
                <v:textbox>
                  <w:txbxContent>
                    <w:p w14:paraId="03E45350" w14:textId="77777777" w:rsidR="00E738EB" w:rsidRDefault="00E738EB">
                      <w:pPr>
                        <w:ind w:firstLine="0"/>
                        <w:jc w:val="center"/>
                        <w:rPr>
                          <w:b/>
                          <w:bCs/>
                          <w:lang w:val="en-US"/>
                        </w:rPr>
                      </w:pPr>
                      <w:r>
                        <w:rPr>
                          <w:b/>
                          <w:bCs/>
                          <w:lang w:val="en-US"/>
                        </w:rPr>
                        <w:t>DỰ THẢO</w:t>
                      </w:r>
                    </w:p>
                  </w:txbxContent>
                </v:textbox>
              </v:rect>
            </w:pict>
          </mc:Fallback>
        </mc:AlternateContent>
      </w:r>
    </w:p>
    <w:p>
      <w:pPr>
        <w:ind w:firstLine="0"/>
        <w:jc w:val="center"/>
        <w:rPr>
          <w:rFonts w:cs="Times New Roman"/>
          <w:b/>
          <w:color w:val="auto"/>
          <w:szCs w:val="28"/>
        </w:rPr>
      </w:pPr>
      <w:r>
        <w:rPr>
          <w:rFonts w:cs="Times New Roman"/>
          <w:b/>
          <w:color w:val="auto"/>
          <w:szCs w:val="28"/>
        </w:rPr>
        <w:t>NGHỊ QUYẾT</w:t>
      </w:r>
    </w:p>
    <w:p>
      <w:pPr>
        <w:spacing w:before="0"/>
        <w:ind w:firstLine="0"/>
        <w:jc w:val="center"/>
        <w:rPr>
          <w:rFonts w:cs="Times New Roman"/>
          <w:b/>
          <w:color w:val="auto"/>
          <w:szCs w:val="28"/>
        </w:rPr>
      </w:pPr>
      <w:r>
        <w:rPr>
          <w:rFonts w:cs="Times New Roman"/>
          <w:b/>
          <w:color w:val="auto"/>
          <w:szCs w:val="28"/>
          <w:lang w:val="en-US"/>
        </w:rPr>
        <w:t>Về c</w:t>
      </w:r>
      <w:r>
        <w:rPr>
          <w:rFonts w:cs="Times New Roman"/>
          <w:b/>
          <w:color w:val="auto"/>
          <w:szCs w:val="28"/>
        </w:rPr>
        <w:t xml:space="preserve">hính sách khuyến khích và tạo điều kiện khu vực </w:t>
      </w:r>
      <w:r>
        <w:rPr>
          <w:rFonts w:cs="Times New Roman"/>
          <w:b/>
          <w:color w:val="auto"/>
          <w:szCs w:val="28"/>
          <w:lang w:val="en-US"/>
        </w:rPr>
        <w:t xml:space="preserve">kinh tế </w:t>
      </w:r>
      <w:r>
        <w:rPr>
          <w:rFonts w:cs="Times New Roman"/>
          <w:b/>
          <w:color w:val="auto"/>
          <w:szCs w:val="28"/>
        </w:rPr>
        <w:t>tư nhân</w:t>
      </w:r>
    </w:p>
    <w:p>
      <w:pPr>
        <w:spacing w:before="0"/>
        <w:ind w:firstLine="0"/>
        <w:jc w:val="center"/>
        <w:rPr>
          <w:rFonts w:cs="Times New Roman"/>
          <w:b/>
          <w:color w:val="auto"/>
          <w:szCs w:val="28"/>
        </w:rPr>
      </w:pPr>
      <w:r>
        <w:rPr>
          <w:rFonts w:cs="Times New Roman"/>
          <w:b/>
          <w:color w:val="auto"/>
          <w:szCs w:val="28"/>
        </w:rPr>
        <w:t>tiếp cận, đầu tư, ứng dụng khoa học, công nghệ, đổi mới sáng tạo và</w:t>
      </w:r>
    </w:p>
    <w:p>
      <w:pPr>
        <w:spacing w:before="0"/>
        <w:ind w:firstLine="0"/>
        <w:jc w:val="center"/>
        <w:rPr>
          <w:rFonts w:cs="Times New Roman"/>
          <w:b/>
          <w:color w:val="auto"/>
          <w:szCs w:val="28"/>
        </w:rPr>
      </w:pPr>
      <w:r>
        <w:rPr>
          <w:rFonts w:cs="Times New Roman"/>
          <w:b/>
          <w:color w:val="auto"/>
          <w:szCs w:val="28"/>
        </w:rPr>
        <w:t>chuyển đổi số vào sản xuất, kinh doanh trên địa bàn tỉnh Thanh Hóa</w:t>
      </w:r>
    </w:p>
    <w:p>
      <w:pPr>
        <w:spacing w:before="0"/>
        <w:ind w:firstLine="0"/>
        <w:jc w:val="center"/>
        <w:rPr>
          <w:rFonts w:cs="Times New Roman"/>
          <w:b/>
          <w:color w:val="auto"/>
          <w:szCs w:val="28"/>
        </w:rPr>
      </w:pPr>
      <w:r>
        <w:rPr>
          <w:rFonts w:cs="Times New Roman"/>
          <w:b/>
          <w:color w:val="auto"/>
          <w:szCs w:val="28"/>
        </w:rPr>
        <w:t>giai đoạn 202</w:t>
      </w:r>
      <w:r>
        <w:rPr>
          <w:rFonts w:cs="Times New Roman"/>
          <w:b/>
          <w:color w:val="auto"/>
          <w:szCs w:val="28"/>
          <w:lang w:val="en-US"/>
        </w:rPr>
        <w:t>6</w:t>
      </w:r>
      <w:r>
        <w:rPr>
          <w:rFonts w:cs="Times New Roman"/>
          <w:b/>
          <w:color w:val="auto"/>
          <w:szCs w:val="28"/>
        </w:rPr>
        <w:t>-2030</w:t>
      </w:r>
    </w:p>
    <w:p>
      <w:pPr>
        <w:jc w:val="center"/>
        <w:rPr>
          <w:rFonts w:cs="Times New Roman"/>
          <w:b/>
          <w:color w:val="auto"/>
          <w:szCs w:val="28"/>
        </w:rPr>
      </w:pPr>
      <w:r>
        <w:rPr>
          <w:rFonts w:cs="Times New Roman"/>
          <w:b/>
          <w:noProof/>
          <w:color w:val="auto"/>
          <w:szCs w:val="28"/>
          <w:lang w:val="en-US" w:eastAsia="en-US"/>
        </w:rPr>
        <mc:AlternateContent>
          <mc:Choice Requires="wps">
            <w:drawing>
              <wp:anchor distT="0" distB="0" distL="114300" distR="114300" simplePos="0" relativeHeight="251659264" behindDoc="0" locked="0" layoutInCell="1" allowOverlap="1">
                <wp:simplePos x="0" y="0"/>
                <wp:positionH relativeFrom="column">
                  <wp:posOffset>2348601</wp:posOffset>
                </wp:positionH>
                <wp:positionV relativeFrom="paragraph">
                  <wp:posOffset>42545</wp:posOffset>
                </wp:positionV>
                <wp:extent cx="1068019" cy="0"/>
                <wp:effectExtent l="0" t="0" r="37465" b="19050"/>
                <wp:wrapNone/>
                <wp:docPr id="1" name="Straight Connector 1"/>
                <wp:cNvGraphicFramePr/>
                <a:graphic xmlns:a="http://schemas.openxmlformats.org/drawingml/2006/main">
                  <a:graphicData uri="http://schemas.microsoft.com/office/word/2010/wordprocessingShape">
                    <wps:wsp>
                      <wps:cNvCnPr/>
                      <wps:spPr>
                        <a:xfrm>
                          <a:off x="0" y="0"/>
                          <a:ext cx="106801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du="http://schemas.microsoft.com/office/word/2023/wordml/word16du" xmlns:w16sdtfl="http://schemas.microsoft.com/office/word/2024/wordml/sdtformatlo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C24D58A"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84.95pt,3.35pt" to="269.05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" strokecolor="black [3200]" strokeweight=".5pt">
                <v:stroke joinstyle="miter"/>
              </v:line>
            </w:pict>
          </mc:Fallback>
        </mc:AlternateContent>
      </w:r>
    </w:p>
    <w:p>
      <w:pPr>
        <w:rPr>
          <w:rFonts w:cs="Times New Roman"/>
          <w:i/>
          <w:color w:val="auto"/>
          <w:szCs w:val="28"/>
        </w:rPr>
      </w:pPr>
      <w:r>
        <w:rPr>
          <w:rFonts w:cs="Times New Roman"/>
          <w:i/>
          <w:color w:val="auto"/>
          <w:szCs w:val="28"/>
        </w:rPr>
        <w:t>Căn cứ Luật Tổ chức chính quyền địa phương ngày 16 tháng 6 năm 2025;</w:t>
      </w:r>
    </w:p>
    <w:p>
      <w:pPr>
        <w:rPr>
          <w:rFonts w:cs="Times New Roman"/>
          <w:i/>
          <w:color w:val="auto"/>
          <w:szCs w:val="28"/>
        </w:rPr>
      </w:pPr>
      <w:r>
        <w:rPr>
          <w:rFonts w:cs="Times New Roman"/>
          <w:i/>
          <w:color w:val="auto"/>
          <w:szCs w:val="28"/>
        </w:rPr>
        <w:t>Căn cứ Luật Ban hành văn bản quy phạm pháp luật ngày 19 tháng 02</w:t>
      </w:r>
      <w:r>
        <w:rPr>
          <w:rFonts w:cs="Times New Roman"/>
          <w:i/>
          <w:color w:val="auto"/>
          <w:szCs w:val="28"/>
          <w:lang w:val="en-US"/>
        </w:rPr>
        <w:t xml:space="preserve"> </w:t>
      </w:r>
      <w:r>
        <w:rPr>
          <w:rFonts w:cs="Times New Roman"/>
          <w:i/>
          <w:color w:val="auto"/>
          <w:szCs w:val="28"/>
        </w:rPr>
        <w:t>năm 2025; Luật sửa đổi, bổ sung một số điều của Luật Ban hành văn bản quy</w:t>
      </w:r>
      <w:r>
        <w:rPr>
          <w:rFonts w:cs="Times New Roman"/>
          <w:i/>
          <w:color w:val="auto"/>
          <w:szCs w:val="28"/>
          <w:lang w:val="en-US"/>
        </w:rPr>
        <w:t xml:space="preserve"> </w:t>
      </w:r>
      <w:r>
        <w:rPr>
          <w:rFonts w:cs="Times New Roman"/>
          <w:i/>
          <w:color w:val="auto"/>
          <w:szCs w:val="28"/>
        </w:rPr>
        <w:t>phạm phá</w:t>
      </w:r>
      <w:r>
        <w:rPr>
          <w:rFonts w:cs="Times New Roman"/>
          <w:i/>
          <w:color w:val="auto"/>
          <w:szCs w:val="28"/>
          <w:lang w:val="en-US"/>
        </w:rPr>
        <w:t>p</w:t>
      </w:r>
      <w:r>
        <w:rPr>
          <w:rFonts w:cs="Times New Roman"/>
          <w:i/>
          <w:color w:val="auto"/>
          <w:szCs w:val="28"/>
        </w:rPr>
        <w:t xml:space="preserve"> luật ngày 25 tháng 6 năm 2025;</w:t>
      </w:r>
    </w:p>
    <w:p>
      <w:pPr>
        <w:rPr>
          <w:rFonts w:cs="Times New Roman"/>
          <w:i/>
          <w:color w:val="auto"/>
          <w:szCs w:val="28"/>
        </w:rPr>
      </w:pPr>
      <w:r>
        <w:rPr>
          <w:rFonts w:cs="Times New Roman"/>
          <w:i/>
          <w:color w:val="auto"/>
          <w:szCs w:val="28"/>
        </w:rPr>
        <w:t>Căn cứ Luật Ngân sách nhà nước ngày 25 tháng 6 năm 20</w:t>
      </w:r>
      <w:r>
        <w:rPr>
          <w:rFonts w:cs="Times New Roman"/>
          <w:i/>
          <w:color w:val="auto"/>
          <w:szCs w:val="28"/>
          <w:lang w:val="en-US"/>
        </w:rPr>
        <w:t>2</w:t>
      </w:r>
      <w:r>
        <w:rPr>
          <w:rFonts w:cs="Times New Roman"/>
          <w:i/>
          <w:color w:val="auto"/>
          <w:szCs w:val="28"/>
        </w:rPr>
        <w:t xml:space="preserve">5; </w:t>
      </w:r>
    </w:p>
    <w:p>
      <w:pPr>
        <w:rPr>
          <w:rFonts w:cs="Times New Roman"/>
          <w:i/>
          <w:color w:val="auto"/>
          <w:spacing w:val="2"/>
          <w:szCs w:val="28"/>
          <w:lang w:val="en-US"/>
        </w:rPr>
      </w:pPr>
      <w:r>
        <w:rPr>
          <w:rFonts w:cs="Times New Roman"/>
          <w:i/>
          <w:color w:val="auto"/>
          <w:spacing w:val="2"/>
          <w:szCs w:val="28"/>
        </w:rPr>
        <w:t>Căn cứ Luật Khoa học</w:t>
      </w:r>
      <w:r>
        <w:rPr>
          <w:rFonts w:cs="Times New Roman"/>
          <w:i/>
          <w:color w:val="auto"/>
          <w:spacing w:val="2"/>
          <w:szCs w:val="28"/>
          <w:lang w:val="en-US"/>
        </w:rPr>
        <w:t>, C</w:t>
      </w:r>
      <w:r>
        <w:rPr>
          <w:rFonts w:cs="Times New Roman"/>
          <w:i/>
          <w:color w:val="auto"/>
          <w:spacing w:val="2"/>
          <w:szCs w:val="28"/>
        </w:rPr>
        <w:t>ông nghệ</w:t>
      </w:r>
      <w:r>
        <w:rPr>
          <w:rFonts w:cs="Times New Roman"/>
          <w:i/>
          <w:color w:val="auto"/>
          <w:spacing w:val="2"/>
          <w:szCs w:val="28"/>
          <w:lang w:val="en-US"/>
        </w:rPr>
        <w:t xml:space="preserve"> và Đổi mới sáng tạo ngày 27 tháng 6 năm 2025;</w:t>
      </w:r>
    </w:p>
    <w:p>
      <w:pPr>
        <w:rPr>
          <w:rFonts w:cs="Times New Roman"/>
          <w:i/>
          <w:color w:val="auto"/>
          <w:szCs w:val="28"/>
          <w:lang w:val="en-US"/>
        </w:rPr>
      </w:pPr>
      <w:r>
        <w:rPr>
          <w:rFonts w:cs="Times New Roman"/>
          <w:i/>
          <w:color w:val="auto"/>
          <w:szCs w:val="28"/>
        </w:rPr>
        <w:t>Căn cứ Luật Chuyển giao công nghệ ngày 19 tháng 6 năm 2017</w:t>
      </w:r>
      <w:r>
        <w:rPr>
          <w:rFonts w:cs="Times New Roman"/>
          <w:i/>
          <w:color w:val="auto"/>
          <w:szCs w:val="28"/>
          <w:lang w:val="en-US"/>
        </w:rPr>
        <w:t>;</w:t>
      </w:r>
    </w:p>
    <w:p>
      <w:pPr>
        <w:rPr>
          <w:rFonts w:cs="Times New Roman"/>
          <w:i/>
          <w:color w:val="auto"/>
          <w:szCs w:val="28"/>
          <w:lang w:val="en-US"/>
        </w:rPr>
      </w:pPr>
      <w:r>
        <w:rPr>
          <w:rFonts w:cs="Times New Roman"/>
          <w:i/>
          <w:color w:val="auto"/>
          <w:szCs w:val="28"/>
        </w:rPr>
        <w:t>Căn cứ Luật Hỗ trợ doanh nghiệp nhỏ và vừa ngày 12 tháng 6 năm 2017</w:t>
      </w:r>
      <w:r>
        <w:rPr>
          <w:rFonts w:cs="Times New Roman"/>
          <w:i/>
          <w:color w:val="auto"/>
          <w:szCs w:val="28"/>
          <w:lang w:val="en-US"/>
        </w:rPr>
        <w:t>;</w:t>
      </w:r>
    </w:p>
    <w:p>
      <w:pPr>
        <w:rPr>
          <w:rFonts w:cs="Times New Roman"/>
          <w:i/>
          <w:color w:val="auto"/>
          <w:szCs w:val="28"/>
          <w:lang w:val="en-US"/>
        </w:rPr>
      </w:pPr>
      <w:r>
        <w:rPr>
          <w:rFonts w:cs="Times New Roman"/>
          <w:i/>
          <w:color w:val="auto"/>
          <w:szCs w:val="28"/>
        </w:rPr>
        <w:t>Căn cứ Luật Sở hữu trí tuệ số 50/2005/QH11</w:t>
      </w:r>
      <w:r>
        <w:rPr>
          <w:rFonts w:cs="Times New Roman"/>
          <w:i/>
          <w:color w:val="auto"/>
          <w:szCs w:val="28"/>
          <w:lang w:val="en-US"/>
        </w:rPr>
        <w:t xml:space="preserve">; </w:t>
      </w:r>
      <w:r>
        <w:rPr>
          <w:rFonts w:cs="Times New Roman"/>
          <w:i/>
          <w:color w:val="auto"/>
          <w:szCs w:val="28"/>
        </w:rPr>
        <w:t xml:space="preserve">Luật </w:t>
      </w:r>
      <w:r>
        <w:rPr>
          <w:rFonts w:cs="Times New Roman"/>
          <w:i/>
          <w:color w:val="auto"/>
          <w:szCs w:val="28"/>
          <w:lang w:val="en-US"/>
        </w:rPr>
        <w:t xml:space="preserve">sửa đổi, bổ sung một số điều của Luật </w:t>
      </w:r>
      <w:r>
        <w:rPr>
          <w:rFonts w:cs="Times New Roman"/>
          <w:i/>
          <w:color w:val="auto"/>
          <w:szCs w:val="28"/>
        </w:rPr>
        <w:t>Sở hữu trí tuệ</w:t>
      </w:r>
      <w:r>
        <w:rPr>
          <w:rFonts w:cs="Times New Roman"/>
          <w:i/>
          <w:color w:val="auto"/>
          <w:szCs w:val="28"/>
          <w:lang w:val="en-US"/>
        </w:rPr>
        <w:t xml:space="preserve"> ngày 16 tháng 6 năm 2022;</w:t>
      </w:r>
    </w:p>
    <w:p>
      <w:pPr>
        <w:rPr>
          <w:rFonts w:cs="Times New Roman"/>
          <w:i/>
          <w:color w:val="auto"/>
          <w:szCs w:val="28"/>
          <w:lang w:val="en-US"/>
        </w:rPr>
      </w:pPr>
      <w:r>
        <w:rPr>
          <w:rFonts w:cs="Times New Roman"/>
          <w:i/>
          <w:color w:val="auto"/>
          <w:szCs w:val="28"/>
          <w:lang w:val="en-US"/>
        </w:rPr>
        <w:t>Căn cứ Nghị quyết số 198/2025/NQ-QH15 ngày 17/5/2025 của Quốc hội về một số cơ chế, chính sách đặc biệt phát triển kinh tế tư nhân;</w:t>
      </w:r>
    </w:p>
    <w:p>
      <w:pPr>
        <w:rPr>
          <w:rFonts w:cs="Times New Roman"/>
          <w:i/>
          <w:color w:val="auto"/>
          <w:szCs w:val="28"/>
          <w:lang w:val="en-US"/>
        </w:rPr>
      </w:pPr>
      <w:r>
        <w:rPr>
          <w:rFonts w:cs="Times New Roman"/>
          <w:i/>
          <w:color w:val="auto"/>
          <w:szCs w:val="28"/>
        </w:rPr>
        <w:t xml:space="preserve">Căn cứ các Nghị định của Chính phủ: </w:t>
      </w:r>
      <w:r>
        <w:rPr>
          <w:rFonts w:cs="Times New Roman"/>
          <w:i/>
          <w:color w:val="auto"/>
          <w:szCs w:val="28"/>
          <w:lang w:val="en-US"/>
        </w:rPr>
        <w:t>số 265/2025/</w:t>
      </w:r>
      <w:r>
        <w:rPr>
          <w:rFonts w:cs="Times New Roman"/>
          <w:i/>
          <w:color w:val="auto"/>
          <w:szCs w:val="28"/>
        </w:rPr>
        <w:t xml:space="preserve">NĐ-CP </w:t>
      </w:r>
      <w:r>
        <w:rPr>
          <w:rFonts w:cs="Times New Roman"/>
          <w:i/>
          <w:color w:val="auto"/>
          <w:szCs w:val="28"/>
          <w:lang w:val="en-US"/>
        </w:rPr>
        <w:t xml:space="preserve">ngày 14 tháng 10 năm 2025 </w:t>
      </w:r>
      <w:r>
        <w:rPr>
          <w:rFonts w:cs="Times New Roman"/>
          <w:i/>
          <w:color w:val="auto"/>
          <w:szCs w:val="28"/>
        </w:rPr>
        <w:t xml:space="preserve">quy định chi tiết và hướng dẫn thi hành một số điều của Luật Khoa học, Công nghệ và Đổi mới sáng tạo về tài chính và đầu tư trong khoa học, công nghệ và đổi mới sáng tạo; </w:t>
      </w:r>
      <w:r>
        <w:rPr>
          <w:rFonts w:cs="Times New Roman"/>
          <w:i/>
          <w:color w:val="auto"/>
          <w:szCs w:val="28"/>
          <w:lang w:val="en-US"/>
        </w:rPr>
        <w:t>s</w:t>
      </w:r>
      <w:r>
        <w:rPr>
          <w:rFonts w:cs="Times New Roman"/>
          <w:i/>
          <w:color w:val="auto"/>
          <w:szCs w:val="28"/>
        </w:rPr>
        <w:t>ố 78/2025/NĐ-CP ngày 01</w:t>
      </w:r>
      <w:r>
        <w:rPr>
          <w:rFonts w:cs="Times New Roman"/>
          <w:i/>
          <w:color w:val="auto"/>
          <w:szCs w:val="28"/>
          <w:lang w:val="en-US"/>
        </w:rPr>
        <w:t xml:space="preserve"> </w:t>
      </w:r>
      <w:r>
        <w:rPr>
          <w:rFonts w:cs="Times New Roman"/>
          <w:i/>
          <w:color w:val="auto"/>
          <w:szCs w:val="28"/>
        </w:rPr>
        <w:t>tháng 4 năm 2025 quy định chi tiết một số điều và biện pháp để tổ chức,</w:t>
      </w:r>
      <w:r>
        <w:rPr>
          <w:rFonts w:cs="Times New Roman"/>
          <w:i/>
          <w:color w:val="auto"/>
          <w:szCs w:val="28"/>
          <w:lang w:val="en-US"/>
        </w:rPr>
        <w:t xml:space="preserve"> </w:t>
      </w:r>
      <w:r>
        <w:rPr>
          <w:rFonts w:cs="Times New Roman"/>
          <w:i/>
          <w:color w:val="auto"/>
          <w:szCs w:val="28"/>
        </w:rPr>
        <w:t>hướng dẫn thi hành Luật Ban hành văn bản quy phạm pháp luật; số</w:t>
      </w:r>
      <w:r>
        <w:rPr>
          <w:rFonts w:cs="Times New Roman"/>
          <w:i/>
          <w:color w:val="auto"/>
          <w:szCs w:val="28"/>
          <w:lang w:val="en-US"/>
        </w:rPr>
        <w:t xml:space="preserve"> </w:t>
      </w:r>
      <w:r>
        <w:rPr>
          <w:rFonts w:cs="Times New Roman"/>
          <w:i/>
          <w:color w:val="auto"/>
          <w:szCs w:val="28"/>
        </w:rPr>
        <w:t>187/2025/NĐ-CP ngày 01 tháng 7 năm 2025 sửa đổi, bổ sung một số điều</w:t>
      </w:r>
      <w:r>
        <w:rPr>
          <w:rFonts w:cs="Times New Roman"/>
          <w:i/>
          <w:color w:val="auto"/>
          <w:szCs w:val="28"/>
          <w:lang w:val="en-US"/>
        </w:rPr>
        <w:t xml:space="preserve"> </w:t>
      </w:r>
      <w:r>
        <w:rPr>
          <w:rFonts w:cs="Times New Roman"/>
          <w:i/>
          <w:color w:val="auto"/>
          <w:szCs w:val="28"/>
        </w:rPr>
        <w:t>của Nghị định số 78/2025/NĐ-CP ngày 01 tháng 4 năm 2025 của Chính phủ</w:t>
      </w:r>
      <w:r>
        <w:rPr>
          <w:rFonts w:cs="Times New Roman"/>
          <w:i/>
          <w:color w:val="auto"/>
          <w:szCs w:val="28"/>
          <w:lang w:val="en-US"/>
        </w:rPr>
        <w:t xml:space="preserve"> </w:t>
      </w:r>
      <w:r>
        <w:rPr>
          <w:rFonts w:cs="Times New Roman"/>
          <w:i/>
          <w:color w:val="auto"/>
          <w:szCs w:val="28"/>
        </w:rPr>
        <w:t>quy định chi tiết một số điều và biện pháp để tổ chức, hướng dẫn thi hành</w:t>
      </w:r>
      <w:r>
        <w:rPr>
          <w:rFonts w:cs="Times New Roman"/>
          <w:i/>
          <w:color w:val="auto"/>
          <w:szCs w:val="28"/>
          <w:lang w:val="en-US"/>
        </w:rPr>
        <w:t xml:space="preserve"> </w:t>
      </w:r>
      <w:r>
        <w:rPr>
          <w:rFonts w:cs="Times New Roman"/>
          <w:i/>
          <w:color w:val="auto"/>
          <w:szCs w:val="28"/>
        </w:rPr>
        <w:t>Luật Ban hành văn bản quy phạm pháp luật và Nghị định số 79/2025/NĐ-CP</w:t>
      </w:r>
      <w:r>
        <w:rPr>
          <w:rFonts w:cs="Times New Roman"/>
          <w:i/>
          <w:color w:val="auto"/>
          <w:szCs w:val="28"/>
          <w:lang w:val="en-US"/>
        </w:rPr>
        <w:t xml:space="preserve"> </w:t>
      </w:r>
      <w:r>
        <w:rPr>
          <w:rFonts w:cs="Times New Roman"/>
          <w:i/>
          <w:color w:val="auto"/>
          <w:szCs w:val="28"/>
        </w:rPr>
        <w:t>ngày 01 tháng 4 năm 2025 của Chính phủ về kiểm tra, rà soát, hệ thống hóa</w:t>
      </w:r>
      <w:r>
        <w:rPr>
          <w:rFonts w:cs="Times New Roman"/>
          <w:i/>
          <w:color w:val="auto"/>
          <w:szCs w:val="28"/>
          <w:lang w:val="en-US"/>
        </w:rPr>
        <w:t xml:space="preserve"> </w:t>
      </w:r>
      <w:r>
        <w:rPr>
          <w:rFonts w:cs="Times New Roman"/>
          <w:i/>
          <w:color w:val="auto"/>
          <w:szCs w:val="28"/>
        </w:rPr>
        <w:t>và xử lý văn bản quy phạm pháp luật;</w:t>
      </w:r>
      <w:r>
        <w:rPr>
          <w:rFonts w:cs="Times New Roman"/>
          <w:i/>
          <w:color w:val="auto"/>
          <w:szCs w:val="28"/>
          <w:lang w:val="en-US"/>
        </w:rPr>
        <w:t xml:space="preserve"> Nghị định số 80/2021/NĐ-CP ngày 26/8/2021 của Chính phủ quy định chi tiết và hướng dẫn thi hành một số điều của Luật Hỗ trợ doanh nghiệp nhỏ và vừa;</w:t>
      </w:r>
    </w:p>
    <w:p>
      <w:pPr>
        <w:rPr>
          <w:rFonts w:cs="Times New Roman"/>
          <w:i/>
          <w:color w:val="auto"/>
          <w:szCs w:val="28"/>
        </w:rPr>
      </w:pPr>
      <w:r>
        <w:rPr>
          <w:rFonts w:cs="Times New Roman"/>
          <w:i/>
          <w:color w:val="auto"/>
          <w:szCs w:val="28"/>
        </w:rPr>
        <w:t xml:space="preserve">Xét Tờ trình </w:t>
      </w:r>
      <w:r>
        <w:rPr>
          <w:rFonts w:cs="Times New Roman"/>
          <w:i/>
          <w:color w:val="auto"/>
          <w:szCs w:val="28"/>
          <w:lang w:val="en-US"/>
        </w:rPr>
        <w:t xml:space="preserve">số </w:t>
      </w:r>
      <w:r>
        <w:rPr>
          <w:rFonts w:cs="Times New Roman"/>
          <w:i/>
          <w:color w:val="auto"/>
          <w:szCs w:val="28"/>
        </w:rPr>
        <w:t>……………………………………………………………….; Báo cáo thẩm tra của ...; ý kiến thảo luận của đại biểu Hội đồng nhân dân tại kỳ họp;</w:t>
      </w:r>
    </w:p>
    <w:p>
      <w:pPr>
        <w:rPr>
          <w:rFonts w:cs="Times New Roman"/>
          <w:i/>
          <w:color w:val="auto"/>
          <w:szCs w:val="28"/>
          <w:lang w:val="en-US"/>
        </w:rPr>
      </w:pPr>
      <w:r>
        <w:rPr>
          <w:rFonts w:cs="Times New Roman"/>
          <w:i/>
          <w:color w:val="auto"/>
          <w:szCs w:val="28"/>
        </w:rPr>
        <w:lastRenderedPageBreak/>
        <w:t xml:space="preserve">Hội đồng nhân dân ban hành Nghị quyết </w:t>
      </w:r>
      <w:r>
        <w:rPr>
          <w:rFonts w:cs="Times New Roman"/>
          <w:i/>
          <w:color w:val="auto"/>
          <w:szCs w:val="28"/>
          <w:lang w:val="en-US"/>
        </w:rPr>
        <w:t>v</w:t>
      </w:r>
      <w:r>
        <w:rPr>
          <w:rFonts w:cs="Times New Roman"/>
          <w:i/>
          <w:color w:val="auto"/>
          <w:szCs w:val="28"/>
        </w:rPr>
        <w:t>ề chính sách khuyến khích và tạo điều kiện khu vực kinh tế tư nhân tiếp cận, đầu tư, ứng dụng khoa học, công nghệ, đổi mới sáng tạo và chuyển đổi số vào sản xuất, kinh doanh trên địa bàn tỉnh Thanh Hóa giai đoạn 202</w:t>
      </w:r>
      <w:r>
        <w:rPr>
          <w:rFonts w:cs="Times New Roman"/>
          <w:i/>
          <w:color w:val="auto"/>
          <w:szCs w:val="28"/>
          <w:lang w:val="en-US"/>
        </w:rPr>
        <w:t>5</w:t>
      </w:r>
      <w:r>
        <w:rPr>
          <w:rFonts w:cs="Times New Roman"/>
          <w:i/>
          <w:color w:val="auto"/>
          <w:szCs w:val="28"/>
        </w:rPr>
        <w:t>-2030</w:t>
      </w:r>
      <w:r>
        <w:rPr>
          <w:rFonts w:cs="Times New Roman"/>
          <w:i/>
          <w:color w:val="auto"/>
          <w:szCs w:val="28"/>
          <w:lang w:val="en-US"/>
        </w:rPr>
        <w:t>.</w:t>
      </w:r>
    </w:p>
    <w:p>
      <w:pPr>
        <w:spacing w:before="0"/>
        <w:rPr>
          <w:rFonts w:cs="Times New Roman"/>
          <w:i/>
          <w:color w:val="auto"/>
          <w:sz w:val="20"/>
          <w:szCs w:val="20"/>
        </w:rPr>
      </w:pPr>
    </w:p>
    <w:p>
      <w:pPr>
        <w:pStyle w:val="Heading1"/>
        <w:spacing w:before="0" w:after="120"/>
        <w:rPr>
          <w:rFonts w:cs="Times New Roman"/>
        </w:rPr>
      </w:pPr>
      <w:r>
        <w:rPr>
          <w:rFonts w:cs="Times New Roman"/>
        </w:rPr>
        <w:t>Điều 1. Phạm vi điều chỉnh</w:t>
      </w:r>
    </w:p>
    <w:p>
      <w:pPr>
        <w:spacing w:after="120"/>
        <w:rPr>
          <w:rFonts w:cs="Times New Roman"/>
          <w:color w:val="auto"/>
          <w:lang w:val="en-US"/>
        </w:rPr>
      </w:pPr>
      <w:r>
        <w:rPr>
          <w:color w:val="auto"/>
          <w:szCs w:val="28"/>
        </w:rPr>
        <w:t>Nghị quyết này quy định chính sách khuyến khích khu vực kinh tế tư nhân tiếp cận, đầu tư, ứng dụng khoa học, công nghệ, đổi mới sáng tạo và chuyển đổi số vào sản xuất, kinh doanh trên địa bàn tỉnh Thanh Hóa giai đoạn 2026-2030</w:t>
      </w:r>
    </w:p>
    <w:p>
      <w:pPr>
        <w:pStyle w:val="Heading1"/>
        <w:spacing w:after="120"/>
        <w:rPr>
          <w:rFonts w:cs="Times New Roman"/>
          <w:lang w:val="en-US"/>
        </w:rPr>
      </w:pPr>
      <w:r>
        <w:rPr>
          <w:rFonts w:cs="Times New Roman"/>
        </w:rPr>
        <w:t xml:space="preserve">Điều 2. </w:t>
      </w:r>
      <w:r>
        <w:rPr>
          <w:rFonts w:cs="Times New Roman"/>
          <w:lang w:val="en-US"/>
        </w:rPr>
        <w:t>Đối tượng, nội dung, mức và điều kiện hỗ trợ</w:t>
      </w:r>
    </w:p>
    <w:p>
      <w:pPr>
        <w:spacing w:after="280" w:afterAutospacing="1"/>
      </w:pPr>
      <w:bookmarkStart w:id="1" w:name="_Hlk210739041"/>
      <w:r>
        <w:rPr>
          <w:b/>
          <w:bCs/>
          <w:lang w:val="en-US"/>
        </w:rPr>
        <w:t xml:space="preserve">1. </w:t>
      </w:r>
      <w:r>
        <w:rPr>
          <w:b/>
          <w:bCs/>
        </w:rPr>
        <w:t>Hỗ trợ tổ chức, cá nhân giới thiệu công nghệ, thiết bị, sản phẩm mới hoặc kết quả nghiên cứu khoa học và công nghệ ở trong nước và quốc tế</w:t>
      </w:r>
    </w:p>
    <w:p>
      <w:pPr>
        <w:spacing w:after="280" w:afterAutospacing="1"/>
      </w:pPr>
      <w:r>
        <w:rPr>
          <w:lang w:val="en-US"/>
        </w:rPr>
        <w:t>1.1</w:t>
      </w:r>
      <w:r>
        <w:t>. Điều kiện hỗ trợ</w:t>
      </w:r>
    </w:p>
    <w:p>
      <w:pPr>
        <w:spacing w:after="280" w:afterAutospacing="1"/>
      </w:pPr>
      <w:r>
        <w:t>a) Tổ chức, cá nhân có trụ sở hoặc hoạt động trên địa bàn tỉnh và thực hiện nghĩa vụ nộp thuế vào ngân sách Nhà nước tại địa bàn tỉnh Thanh Hóa, được Sở Khoa học và Công nghệ hoặc cơ quan có thẩm quyền lựa chọn, cử tham gia ngày hội khởi nghiệp sáng tạo, chợ công nghệ, thiết bị hoặc sự kiện kết nối cung cầu công nghệ, thiết bị trong và ngoài nước;</w:t>
      </w:r>
    </w:p>
    <w:p>
      <w:pPr>
        <w:spacing w:after="280" w:afterAutospacing="1"/>
      </w:pPr>
      <w:r>
        <w:t>b) Có gian hàng, sản phẩm, công nghệ, thiết bị hoặc kết quả nghiên cứu khoa học được trưng bày, giới thiệu, kết nối giao dịch tại sự kiện nói trên;</w:t>
      </w:r>
    </w:p>
    <w:p>
      <w:pPr>
        <w:spacing w:after="280" w:afterAutospacing="1"/>
      </w:pPr>
      <w:r>
        <w:t>c) Hồ sơ nộp về Sở Khoa học và Công nghệ trong thời gian 30 ngày sau khi sự kiện kết thúc.</w:t>
      </w:r>
    </w:p>
    <w:p>
      <w:pPr>
        <w:spacing w:after="280" w:afterAutospacing="1"/>
      </w:pPr>
      <w:r>
        <w:rPr>
          <w:lang w:val="en-US"/>
        </w:rPr>
        <w:t>1.</w:t>
      </w:r>
      <w:r>
        <w:t>2. Nội dung và mức hỗ trợ</w:t>
      </w:r>
    </w:p>
    <w:p>
      <w:pPr>
        <w:spacing w:after="280" w:afterAutospacing="1"/>
      </w:pPr>
      <w:r>
        <w:t>a) Đối với sự kiện diễn ra tại vùng Bắc Trung Bộ: Mức hỗ trợ 20.000.000 đồng/đơn vị tham dự;</w:t>
      </w:r>
    </w:p>
    <w:p>
      <w:pPr>
        <w:spacing w:after="280" w:afterAutospacing="1"/>
      </w:pPr>
      <w:r>
        <w:t>b) Đối với sự kiện diễn ra tại Việt Nam ngoài vùng Bắc Trung Bộ: Mức hỗ trợ 30.000.000 đồng/đơn vị tham dự;</w:t>
      </w:r>
    </w:p>
    <w:p>
      <w:pPr>
        <w:spacing w:after="280" w:afterAutospacing="1"/>
      </w:pPr>
      <w:r>
        <w:t>c) Đối với sự kiện diễn ra tại nước ngoài: Mức hỗ trợ tối đa 150.000.000 đồng/đơn vị tham dự, bao gồm chi phí vận chuyển, gian hàng, truyền thông, hội thảo, đi lại và tài liệu liên quan;</w:t>
      </w:r>
    </w:p>
    <w:p>
      <w:pPr>
        <w:spacing w:after="280" w:afterAutospacing="1"/>
      </w:pPr>
      <w:r>
        <w:t>d) Trường hợp tham gia theo đoàn của tỉnh, kinh phí hỗ trợ có thể thực hiện thông qua nhiệm vụ khoa học, công nghệ và đổi mới sáng tạo cấp tỉnh hoặc kế hoạch phát triển thị trường khoa học và công nghệ hàng năm.</w:t>
      </w:r>
    </w:p>
    <w:p>
      <w:pPr>
        <w:spacing w:after="280" w:afterAutospacing="1"/>
      </w:pPr>
      <w:r>
        <w:rPr>
          <w:lang w:val="en-US"/>
        </w:rPr>
        <w:t>1.</w:t>
      </w:r>
      <w:r>
        <w:t>3. Hồ sơ gồm:</w:t>
      </w:r>
    </w:p>
    <w:p>
      <w:pPr>
        <w:spacing w:after="280" w:afterAutospacing="1"/>
      </w:pPr>
      <w:r>
        <w:lastRenderedPageBreak/>
        <w:t>a) Đơn đề nghị hỗ trợ tham gia sự kiện tương ứng (theo Mẫu Phụ lục 01 được ban hành kèm theo Quy định này);</w:t>
      </w:r>
    </w:p>
    <w:p>
      <w:pPr>
        <w:spacing w:after="280" w:afterAutospacing="1"/>
      </w:pPr>
      <w:r>
        <w:t>b) Tài liệu chứng minh việc tham gia (giấy mời, quyết định cử đoàn, danh mục sản phẩm, hình ảnh trưng bày gian hàng, giấy chứng nhận (nếu có), ...);</w:t>
      </w:r>
    </w:p>
    <w:p>
      <w:pPr>
        <w:spacing w:after="280" w:afterAutospacing="1"/>
      </w:pPr>
      <w:r>
        <w:t>c) Bản sao hộ chiếu có dấu xác nhận ngày đi, ngày về của cơ quan xuất nhập cảnh (hoặc giấy tờ chứng minh khác).</w:t>
      </w:r>
    </w:p>
    <w:p>
      <w:pPr>
        <w:spacing w:after="280" w:afterAutospacing="1"/>
      </w:pPr>
      <w:r>
        <w:rPr>
          <w:lang w:val="en-US"/>
        </w:rPr>
        <w:t>1.4</w:t>
      </w:r>
      <w:r>
        <w:t>. Trình tự, thủ tục thực hiện</w:t>
      </w:r>
    </w:p>
    <w:p>
      <w:pPr>
        <w:spacing w:after="280" w:afterAutospacing="1"/>
      </w:pPr>
      <w:r>
        <w:t xml:space="preserve">a) Quy định nộp hồ sơ: Tổ chức, cá nhân nộp 01 bộ hồ sơ trực tiếp hoặc qua dịch vụ bưu chính tới Trung tâm Phục vụ Hành chính công tỉnh, số </w:t>
      </w:r>
      <w:r>
        <w:rPr>
          <w:lang w:val="en-US"/>
        </w:rPr>
        <w:t>28 Đại lộ Lê Lợi</w:t>
      </w:r>
      <w:r>
        <w:t>,</w:t>
      </w:r>
      <w:r>
        <w:rPr>
          <w:lang w:val="en-US"/>
        </w:rPr>
        <w:t xml:space="preserve"> Phường Hạc Thành,</w:t>
      </w:r>
      <w:r>
        <w:t xml:space="preserve"> tỉnh </w:t>
      </w:r>
      <w:r>
        <w:rPr>
          <w:lang w:val="en-US"/>
        </w:rPr>
        <w:t>Thanh Hóa</w:t>
      </w:r>
      <w:r>
        <w:t xml:space="preserve"> hoặc Trung tâm Phục vụ Hành chính công cấp xã hoặc nộp trực tuyến tại địa chỉ: dichvucong.gov.vn;</w:t>
      </w:r>
    </w:p>
    <w:p>
      <w:pPr>
        <w:spacing w:after="280" w:afterAutospacing="1"/>
      </w:pPr>
      <w:r>
        <w:t>b) Trong thời hạn 15 ngày làm việc kể từ ngày nhận đầy đủ hồ sơ theo quy định, Sở Khoa học và Công nghệ có trách nhiệm thành lập Hội đồng thẩm định và trình Ủy ban nhân dân tỉnh xem xét quyết định;</w:t>
      </w:r>
    </w:p>
    <w:p>
      <w:pPr>
        <w:spacing w:after="280" w:afterAutospacing="1"/>
      </w:pPr>
      <w:r>
        <w:t>c) Trong thời gian 07 ngày làm việc kể từ ngày nhận được Tờ trình của Sở Khoa học và Công nghệ thì Ủy ban nhân dân tỉnh ban hành Quyết định hỗ trợ hoặc không hỗ trợ;</w:t>
      </w:r>
    </w:p>
    <w:p>
      <w:pPr>
        <w:spacing w:after="280" w:afterAutospacing="1"/>
        <w:rPr>
          <w:lang w:val="en-US"/>
        </w:rPr>
      </w:pPr>
      <w:r>
        <w:t>d) Trong thời hạn 03 ngày làm việc kể từ ngày có quyết định hỗ trợ của Ủy ban nhân dân tỉnh, Sở Khoa học và Công nghệ có trách nhiệm thực hiện việc hỗ trợ cho tổ chức, cá nhân theo quy định.</w:t>
      </w:r>
    </w:p>
    <w:p>
      <w:pPr>
        <w:spacing w:after="280" w:afterAutospacing="1"/>
      </w:pPr>
      <w:bookmarkStart w:id="2" w:name="dieu_10"/>
      <w:r>
        <w:rPr>
          <w:b/>
          <w:bCs/>
          <w:lang w:val="en-US"/>
        </w:rPr>
        <w:t>2</w:t>
      </w:r>
      <w:r>
        <w:rPr>
          <w:b/>
          <w:bCs/>
        </w:rPr>
        <w:t>. Hỗ trợ tổ chức, cá nhân đầu tư công nghệ mới, đổi mới công nghệ và ứng dụng tiến bộ khoa học công nghệ</w:t>
      </w:r>
      <w:bookmarkEnd w:id="2"/>
    </w:p>
    <w:p>
      <w:pPr>
        <w:spacing w:after="280" w:afterAutospacing="1"/>
      </w:pPr>
      <w:r>
        <w:rPr>
          <w:lang w:val="en-US"/>
        </w:rPr>
        <w:t>2.</w:t>
      </w:r>
      <w:r>
        <w:t>1. Điều kiện hỗ trợ</w:t>
      </w:r>
    </w:p>
    <w:p>
      <w:pPr>
        <w:spacing w:after="280" w:afterAutospacing="1"/>
      </w:pPr>
      <w:r>
        <w:t>a) Tổ chức, cá nhân có trụ sở và hoạt động sản xuất, kinh doanh trên địa bàn tỉnh và thực hiện nghĩa vụ nộp thuế vào ngân sách Nhà nước tại địa bàn tỉnh Thanh Hóa, thực hiện dự án đầu tư đổi mới công nghệ, ứng dụng tiến bộ khoa học và công nghệ nhằm nâng cao năng suất, chất lượng sản phẩm, tiết kiệm năng lượng, giảm phát thải hoặc nâng cao giá trị gia tăng;</w:t>
      </w:r>
    </w:p>
    <w:p>
      <w:pPr>
        <w:spacing w:after="280" w:afterAutospacing="1"/>
      </w:pPr>
      <w:r>
        <w:t>b) Công nghệ, thiết bị đầu tư phải là công nghệ mới, tiên tiến, hiện đại, có chứng minh nguồn gốc xuất xứ rõ ràng, đảm bảo tiêu chuẩn kỹ thuật, an toàn và môi trường.</w:t>
      </w:r>
    </w:p>
    <w:p>
      <w:pPr>
        <w:spacing w:after="280" w:afterAutospacing="1"/>
      </w:pPr>
      <w:r>
        <w:rPr>
          <w:lang w:val="en-US"/>
        </w:rPr>
        <w:t>2.</w:t>
      </w:r>
      <w:r>
        <w:t>2. Nội dung và mức hỗ trợ</w:t>
      </w:r>
    </w:p>
    <w:p>
      <w:pPr>
        <w:spacing w:after="280" w:afterAutospacing="1"/>
      </w:pPr>
      <w:r>
        <w:t>a) Nội dung hỗ trợ</w:t>
      </w:r>
    </w:p>
    <w:p>
      <w:pPr>
        <w:spacing w:after="280" w:afterAutospacing="1"/>
      </w:pPr>
      <w:r>
        <w:lastRenderedPageBreak/>
        <w:t>- Chi phí chuyển giao công nghệ, bao gồm: Bí quyết kỹ thuật, bí quyết công nghệ; phương án, quy trình công nghệ; giải pháp, thông số, bản vẽ, sơ đồ kỹ thuật; công thức, phần mềm máy tính, thông tin dữ liệu.</w:t>
      </w:r>
    </w:p>
    <w:p>
      <w:pPr>
        <w:spacing w:after="280" w:afterAutospacing="1"/>
      </w:pPr>
      <w:r>
        <w:t>- Chi phí mua máy móc, thiết bị mới tiên tiến, hiện đại trong dây chuyền sản xuất, thiết bị kiểm tra chất lượng.</w:t>
      </w:r>
    </w:p>
    <w:p>
      <w:pPr>
        <w:spacing w:after="280" w:afterAutospacing="1"/>
      </w:pPr>
      <w:r>
        <w:t>- Chi phí hỗ trợ đào tạo cán bộ kỹ thuật về kỹ năng tay nghề, năng lực quản lý, vận hành công nghệ, thiết bị mới được đầu tư.</w:t>
      </w:r>
    </w:p>
    <w:p>
      <w:pPr>
        <w:spacing w:after="280" w:afterAutospacing="1"/>
      </w:pPr>
      <w:r>
        <w:t>b) Mức hỗ trợ: Tổng kinh phí hỗ trợ cho các dự án không quá 30% tổng chi phí các nội dung quy định tại điểm a khoản 2 Điều này nhưng tối đa không quá 3.000.000.000 đồng/Doanh nghiệp trong một năm.</w:t>
      </w:r>
    </w:p>
    <w:p>
      <w:pPr>
        <w:spacing w:after="280" w:afterAutospacing="1"/>
      </w:pPr>
      <w:r>
        <w:rPr>
          <w:lang w:val="en-US"/>
        </w:rPr>
        <w:t>2.</w:t>
      </w:r>
      <w:r>
        <w:t>3. Hồ sơ gồm:</w:t>
      </w:r>
    </w:p>
    <w:p>
      <w:pPr>
        <w:spacing w:after="280" w:afterAutospacing="1"/>
      </w:pPr>
      <w:r>
        <w:t>a) Văn bản đề nghị hỗ trợ đầu tư, đổi mới công nghệ (theo Mẫu Phụ lục 01 được ban hành kèm theo Quy định này);</w:t>
      </w:r>
    </w:p>
    <w:p>
      <w:pPr>
        <w:spacing w:after="280" w:afterAutospacing="1"/>
      </w:pPr>
      <w:r>
        <w:t>b) Thuyết minh dự án;</w:t>
      </w:r>
    </w:p>
    <w:p>
      <w:pPr>
        <w:spacing w:after="280" w:afterAutospacing="1"/>
      </w:pPr>
      <w:r>
        <w:t>c) Báo cáo kết quả thực hiện dự án (bản gốc);</w:t>
      </w:r>
    </w:p>
    <w:p>
      <w:pPr>
        <w:spacing w:after="280" w:afterAutospacing="1"/>
      </w:pPr>
      <w:r>
        <w:t>d) Bản sao công chứng các giấy tờ: Báo cáo quyết toán và chứng từ tài chính hợp lệ (hợp đồng, biên bản nghiệm thu, biên bản thanh lý hợp đồng, hóa đơn theo quy định của Bộ Tài chính) đối với các nội dung đề nghị hỗ trợ.</w:t>
      </w:r>
    </w:p>
    <w:p>
      <w:pPr>
        <w:spacing w:after="280" w:afterAutospacing="1"/>
      </w:pPr>
      <w:r>
        <w:rPr>
          <w:lang w:val="en-US"/>
        </w:rPr>
        <w:t>2.</w:t>
      </w:r>
      <w:r>
        <w:t>4. Trình tự, thủ tục thực hiện</w:t>
      </w:r>
    </w:p>
    <w:p>
      <w:pPr>
        <w:spacing w:after="280" w:afterAutospacing="1"/>
      </w:pPr>
      <w:r>
        <w:t xml:space="preserve">a) Quy định nộp hồ sơ: Tổ chức, cá nhân nộp 01 bộ hồ sơ trực tiếp hoặc qua dịch vụ bưu chính tới Trung tâm Phục vụ Hành chính công tỉnh, số </w:t>
      </w:r>
      <w:r>
        <w:rPr>
          <w:lang w:val="en-US"/>
        </w:rPr>
        <w:t>28 Đại lộ Lê Lợi</w:t>
      </w:r>
      <w:r>
        <w:t>,</w:t>
      </w:r>
      <w:r>
        <w:rPr>
          <w:lang w:val="en-US"/>
        </w:rPr>
        <w:t xml:space="preserve"> Phường Hạc Thành,</w:t>
      </w:r>
      <w:r>
        <w:t xml:space="preserve"> tỉnh </w:t>
      </w:r>
      <w:r>
        <w:rPr>
          <w:lang w:val="en-US"/>
        </w:rPr>
        <w:t>Thanh Hóa</w:t>
      </w:r>
      <w:r>
        <w:t xml:space="preserve"> hoặc Trung tâm Phục vụ Hành chính công cấp xã hoặc nộp trực tuyến tại địa chỉ: dichvucong.gov.vn;</w:t>
      </w:r>
    </w:p>
    <w:p>
      <w:pPr>
        <w:spacing w:after="280" w:afterAutospacing="1"/>
      </w:pPr>
      <w:r>
        <w:t>b) Trong thời hạn 15 ngày làm việc kể từ ngày nhận đầy đủ hồ sơ theo quy định, Sở Khoa học và Công nghệ có trách nhiệm thành lập Hội đồng thẩm định và trình Ủy ban nhân dân tỉnh xem xét quyết định;</w:t>
      </w:r>
    </w:p>
    <w:p>
      <w:pPr>
        <w:spacing w:after="280" w:afterAutospacing="1"/>
      </w:pPr>
      <w:r>
        <w:t>c) Trong thời gian 07 ngày làm việc kể từ ngày nhận được Tờ trình của Sở Khoa học và Công nghệ thì Ủy ban nhân dân tỉnh ban hành Quyết định hỗ trợ hoặc không hỗ trợ;</w:t>
      </w:r>
    </w:p>
    <w:p>
      <w:pPr>
        <w:spacing w:after="280" w:afterAutospacing="1"/>
        <w:rPr>
          <w:lang w:val="en-US"/>
        </w:rPr>
      </w:pPr>
      <w:r>
        <w:t>d) Trong thời hạn 03 ngày làm việc kể từ ngày có quyết định hỗ trợ của Ủy ban nhân dân tỉnh, Sở Khoa học và Công nghệ có trách nhiệm thực hiện việc hỗ trợ cho tổ chức, cá nhân theo quy định.</w:t>
      </w:r>
    </w:p>
    <w:p>
      <w:pPr>
        <w:spacing w:after="280" w:afterAutospacing="1"/>
      </w:pPr>
      <w:bookmarkStart w:id="3" w:name="dieu_11"/>
      <w:r>
        <w:rPr>
          <w:b/>
          <w:bCs/>
          <w:lang w:val="en-US"/>
        </w:rPr>
        <w:t>3</w:t>
      </w:r>
      <w:r>
        <w:rPr>
          <w:b/>
          <w:bCs/>
        </w:rPr>
        <w:t xml:space="preserve">. Hỗ trợ dự án thí điểm ứng dụng công nghệ xây dựng sử dụng vật </w:t>
      </w:r>
      <w:r>
        <w:rPr>
          <w:b/>
          <w:bCs/>
        </w:rPr>
        <w:lastRenderedPageBreak/>
        <w:t>liệu xanh, vật liệu tái chế cho các tổ chức trên địa bàn tỉnh Thanh Hóa</w:t>
      </w:r>
      <w:bookmarkEnd w:id="3"/>
    </w:p>
    <w:p>
      <w:pPr>
        <w:spacing w:after="280" w:afterAutospacing="1"/>
      </w:pPr>
      <w:r>
        <w:rPr>
          <w:lang w:val="en-US"/>
        </w:rPr>
        <w:t>3.</w:t>
      </w:r>
      <w:r>
        <w:t>1. Điều kiện hỗ trợ</w:t>
      </w:r>
    </w:p>
    <w:p>
      <w:pPr>
        <w:spacing w:after="280" w:afterAutospacing="1"/>
      </w:pPr>
      <w:r>
        <w:t>a) Tổ chức có trụ sở và hoạt động sản xuất, kinh doanh trên địa bàn tỉnh, thực hiện nghĩa vụ nộp thuế vào ngân sách Nhà nước tại địa bàn tỉnh Thanh Hóa, thực hiện dự án thí điểm công trình xây dựng cho cộng đồng hoặc tổ chức công lập có tỷ lệ sử dụng từ 70% trở lên vật liệu xanh, vật liệu tái chế tại chỗ nhằm tiết kiệm năng lượng, giảm phát thải, bảo vệ môi trường và phát triển bền vững;</w:t>
      </w:r>
    </w:p>
    <w:p>
      <w:pPr>
        <w:spacing w:after="280" w:afterAutospacing="1"/>
      </w:pPr>
      <w:r>
        <w:t>b) Vật liệu, công nghệ áp dụng trong công trình phải là vật liệu xanh, tái chế, thân thiện môi trường, có chứng minh nguồn gốc xuất xứ rõ ràng, đảm bảo tiêu chuẩn kỹ thuật, an toàn và đáp ứng quy chuẩn xây dựng hiện hành.</w:t>
      </w:r>
    </w:p>
    <w:p>
      <w:pPr>
        <w:spacing w:after="280" w:afterAutospacing="1"/>
      </w:pPr>
      <w:r>
        <w:rPr>
          <w:lang w:val="en-US"/>
        </w:rPr>
        <w:t>3.</w:t>
      </w:r>
      <w:r>
        <w:t>2. Nội dung và mức hỗ trợ</w:t>
      </w:r>
    </w:p>
    <w:p>
      <w:pPr>
        <w:spacing w:after="280" w:afterAutospacing="1"/>
      </w:pPr>
      <w:r>
        <w:t>a) Nội dung hỗ trợ: Hỗ trợ chi phí nghiên cứu, thiết kế, thử nghiệm, kiểm định chất lượng, đánh giá hiệu quả sử dụng vật liệu xanh, vật liệu tái chế trong công trình xây dựng và một phần chi phí mua sắm thiết bị, công cụ phục vụ thi công, giám sát, đánh giá kỹ thuật, đào tạo nhân lực và truyền thông nhân rộng mô hình;</w:t>
      </w:r>
    </w:p>
    <w:p>
      <w:pPr>
        <w:spacing w:after="280" w:afterAutospacing="1"/>
      </w:pPr>
      <w:r>
        <w:t>b) Mức hỗ trợ: Hỗ trợ tối đa 50% tổng chi phí thực hiện, nhưng không quá 1.000.000.000 đồng/dự án.</w:t>
      </w:r>
    </w:p>
    <w:p>
      <w:pPr>
        <w:spacing w:after="280" w:afterAutospacing="1"/>
      </w:pPr>
      <w:r>
        <w:rPr>
          <w:lang w:val="en-US"/>
        </w:rPr>
        <w:t>3.</w:t>
      </w:r>
      <w:r>
        <w:t>3. Hồ sơ gồm:</w:t>
      </w:r>
    </w:p>
    <w:p>
      <w:pPr>
        <w:spacing w:after="280" w:afterAutospacing="1"/>
      </w:pPr>
      <w:r>
        <w:t>a) Đơn đề nghị hỗ trợ thực hiện dự án thí điểm sử dụng vật liệu xanh, vật liệu tái chế (theo Mẫu Phụ lục 01 được ban hành kèm theo Quy định này) và Văn bản đề nghị của Sở Xây dựng;</w:t>
      </w:r>
    </w:p>
    <w:p>
      <w:pPr>
        <w:spacing w:after="280" w:afterAutospacing="1"/>
      </w:pPr>
      <w:r>
        <w:t>b) Thuyết minh dự án, phương án kỹ thuật, trong đó nêu rõ mục tiêu, nội dung, tỷ lệ vật liệu xanh - tái chế sử dụng, hiệu quả kinh tế - xã hội - môi trường;</w:t>
      </w:r>
    </w:p>
    <w:p>
      <w:pPr>
        <w:spacing w:after="280" w:afterAutospacing="1"/>
      </w:pPr>
      <w:r>
        <w:t>c) Hồ sơ thiết kế kỹ thuật mô tả vật liệu, công nghệ được thẩm định theo quy định trước khi triển khai thi công xây dựng theo quy định hiện hành;</w:t>
      </w:r>
    </w:p>
    <w:p>
      <w:pPr>
        <w:spacing w:after="280" w:afterAutospacing="1"/>
      </w:pPr>
      <w:r>
        <w:t>d) Hồ sơ hoàn công, nghiệm thu các hạng mục công trình đã triển khai xây dựng theo hồ sơ thiết kế đã duyệt;</w:t>
      </w:r>
    </w:p>
    <w:p>
      <w:pPr>
        <w:spacing w:after="280" w:afterAutospacing="1"/>
      </w:pPr>
      <w:r>
        <w:t>đ) Tài liệu chứng minh quyền sử dụng, quyền sở hữu hoặc hợp đồng chuyển giao công nghệ, vật liệu.</w:t>
      </w:r>
    </w:p>
    <w:p>
      <w:pPr>
        <w:spacing w:after="280" w:afterAutospacing="1"/>
      </w:pPr>
      <w:r>
        <w:rPr>
          <w:lang w:val="en-US"/>
        </w:rPr>
        <w:t>3.</w:t>
      </w:r>
      <w:r>
        <w:t>4. Trình tự, thủ tục thực hiện</w:t>
      </w:r>
    </w:p>
    <w:p>
      <w:pPr>
        <w:spacing w:after="280" w:afterAutospacing="1"/>
      </w:pPr>
      <w:r>
        <w:t xml:space="preserve">a) Quy định nộp hồ sơ: Tổ chức, cá nhân nộp 01 bộ hồ sơ trực tiếp hoặc </w:t>
      </w:r>
      <w:r>
        <w:lastRenderedPageBreak/>
        <w:t xml:space="preserve">qua dịch vụ bưu chính tới Trung tâm Phục vụ Hành chính công tỉnh, số </w:t>
      </w:r>
      <w:r>
        <w:rPr>
          <w:lang w:val="en-US"/>
        </w:rPr>
        <w:t>28 Đại lộ Lê Lợi</w:t>
      </w:r>
      <w:r>
        <w:t>,</w:t>
      </w:r>
      <w:r>
        <w:rPr>
          <w:lang w:val="en-US"/>
        </w:rPr>
        <w:t xml:space="preserve"> Phường Hạc Thành,</w:t>
      </w:r>
      <w:r>
        <w:t xml:space="preserve"> tỉnh </w:t>
      </w:r>
      <w:r>
        <w:rPr>
          <w:lang w:val="en-US"/>
        </w:rPr>
        <w:t>Thanh Hóa</w:t>
      </w:r>
      <w:r>
        <w:t xml:space="preserve"> hoặc Trung tâm Phục vụ Hành chính công cấp xã hoặc nộp trực tuyến tại địa chỉ: dichvucong.gov.vn;</w:t>
      </w:r>
    </w:p>
    <w:p>
      <w:pPr>
        <w:spacing w:after="280" w:afterAutospacing="1"/>
      </w:pPr>
      <w:r>
        <w:t>b) Trong thời hạn 15 ngày làm việc kể từ ngày nhận đầy đủ hồ sơ theo quy định, Sở Khoa học và Công nghệ có trách nhiệm thành lập Hội đồng thẩm định và trình Ủy ban nhân dân tỉnh xem xét quyết định.</w:t>
      </w:r>
    </w:p>
    <w:p>
      <w:pPr>
        <w:spacing w:after="280" w:afterAutospacing="1"/>
      </w:pPr>
      <w:r>
        <w:t>c) Trong thời gian 07 ngày làm việc kể từ ngày nhận được Tờ trình của Sở Khoa học và Công nghệ thì Ủy ban nhân dân tỉnh ban hành Quyết định hỗ trợ hoặc không hỗ trợ;</w:t>
      </w:r>
    </w:p>
    <w:p>
      <w:pPr>
        <w:spacing w:after="280" w:afterAutospacing="1"/>
        <w:rPr>
          <w:lang w:val="en-US"/>
        </w:rPr>
      </w:pPr>
      <w:r>
        <w:t>d) Trong thời hạn 03 ngày làm việc kể từ ngày có quyết định hỗ trợ của Ủy ban nhân dân tỉnh, Sở Khoa học và Công nghệ có trách nhiệm thực hiện việc hỗ trợ cho tổ chức, cá nhân theo quy định.</w:t>
      </w:r>
    </w:p>
    <w:p>
      <w:pPr>
        <w:spacing w:after="280" w:afterAutospacing="1"/>
      </w:pPr>
      <w:bookmarkStart w:id="4" w:name="dieu_13"/>
      <w:r>
        <w:rPr>
          <w:b/>
          <w:bCs/>
          <w:lang w:val="en-US"/>
        </w:rPr>
        <w:t>4</w:t>
      </w:r>
      <w:r>
        <w:rPr>
          <w:b/>
          <w:bCs/>
        </w:rPr>
        <w:t>. Hỗ trợ cơ sở ươm tạo, tổ chức thúc đẩy kinh doanh, tổ chức cung cấp thiết bị dùng chung cho các nhóm khởi nghiệp sáng tạo, doanh nghiệp đổi mới sáng tạo có trụ sở trên địa bàn tỉnh Thanh Hóa</w:t>
      </w:r>
      <w:bookmarkEnd w:id="4"/>
    </w:p>
    <w:p>
      <w:pPr>
        <w:spacing w:after="280" w:afterAutospacing="1"/>
      </w:pPr>
      <w:r>
        <w:rPr>
          <w:lang w:val="en-US"/>
        </w:rPr>
        <w:t>4.</w:t>
      </w:r>
      <w:r>
        <w:t>1. Điều kiện, hình thức hỗ trợ</w:t>
      </w:r>
    </w:p>
    <w:p>
      <w:pPr>
        <w:spacing w:after="280" w:afterAutospacing="1"/>
      </w:pPr>
      <w:r>
        <w:t>a) Tổ chức, cá nhân được hỗ trợ phải đáp ứng các điều kiện quy định của Bộ Khoa học và Công nghệ về cơ sở ươm tạo, tổ chức thúc đẩy kinh doanh, tổ chức cung cấp thiết bị dùng chung cho các nhóm khởi nghiệp sáng tạo, doanh nghiệp đổi mới sáng tạo;</w:t>
      </w:r>
    </w:p>
    <w:p>
      <w:pPr>
        <w:spacing w:after="280" w:afterAutospacing="1"/>
      </w:pPr>
      <w:r>
        <w:t>b) Cơ sở, tổ chức phải có tư cách pháp nhân, hoạt động hợp pháp, có trụ sở chính tại Thanh Hóa và có hợp đồng, kế hoạch, dự án nâng cấp cơ sở vật chất kỹ thuật phục vụ hoạt động khởi nghiệp đổi mới sáng tạo;</w:t>
      </w:r>
    </w:p>
    <w:p>
      <w:pPr>
        <w:spacing w:after="280" w:afterAutospacing="1"/>
      </w:pPr>
      <w:r>
        <w:t>c) Hỗ trợ kinh phí trực tiếp cho cơ sở ươm tạo, tổ chức thúc đẩy kinh doanh, tổ chức cung cấp thiết bị dùng chung sau khi thực hiện dự án nâng cấp cơ sở vật chất kỹ thuật và hợp đồng được thanh lý;</w:t>
      </w:r>
    </w:p>
    <w:p>
      <w:pPr>
        <w:spacing w:after="280" w:afterAutospacing="1"/>
      </w:pPr>
      <w:r>
        <w:t>d) Không hỗ trợ đối với các nội dung, hạng mục đã được đầu tư bằng nguồn vốn ngân sách Nhà nước.</w:t>
      </w:r>
    </w:p>
    <w:p>
      <w:pPr>
        <w:spacing w:after="280" w:afterAutospacing="1"/>
      </w:pPr>
      <w:r>
        <w:rPr>
          <w:lang w:val="en-US"/>
        </w:rPr>
        <w:t>4.</w:t>
      </w:r>
      <w:r>
        <w:t>2. Nội dung, mức hỗ trợ</w:t>
      </w:r>
    </w:p>
    <w:p>
      <w:pPr>
        <w:spacing w:after="280" w:afterAutospacing="1"/>
      </w:pPr>
      <w:r>
        <w:t>Hỗ trợ phần kinh phí nâng cấp cơ sở vật chất, kỹ thuật của cơ sở ươm tạo, tổ chức thúc đẩy kinh doanh, tổ chức cung cấp thiết bị dùng chung cho các nhóm khởi nghiệp sáng tạo, doanh nghiệp đổi mới sáng tạo:</w:t>
      </w:r>
    </w:p>
    <w:p>
      <w:pPr>
        <w:spacing w:after="280" w:afterAutospacing="1"/>
      </w:pPr>
      <w:r>
        <w:t>a) Đối với dự án có tổng giá trị hợp đồng đầu tư dưới 1.000.000.000 đồng: hỗ trợ tối đa 50% giá trị hợp đồng nhưng không quá 300.000.000 đồng/dự án.</w:t>
      </w:r>
    </w:p>
    <w:p>
      <w:pPr>
        <w:spacing w:after="280" w:afterAutospacing="1"/>
      </w:pPr>
      <w:r>
        <w:lastRenderedPageBreak/>
        <w:t>b) Đối với dự án có tổng giá trị hợp đồng đầu tư từ 1.000.000.000 đồng trở lên: hỗ trợ tối đa 30% giá trị hợp đồng nhưng không quá 1.000.000.000 đồng/dự án.</w:t>
      </w:r>
    </w:p>
    <w:p>
      <w:pPr>
        <w:spacing w:after="280" w:afterAutospacing="1"/>
      </w:pPr>
      <w:r>
        <w:rPr>
          <w:lang w:val="en-US"/>
        </w:rPr>
        <w:t>4.</w:t>
      </w:r>
      <w:r>
        <w:t>3. Hồ sơ gồm:</w:t>
      </w:r>
    </w:p>
    <w:p>
      <w:pPr>
        <w:spacing w:after="280" w:afterAutospacing="1"/>
      </w:pPr>
      <w:r>
        <w:t>a) Đơn đề nghị hỗ trợ (theo Mẫu Phụ lục 01 được ban hành kèm theo Quy định này);</w:t>
      </w:r>
    </w:p>
    <w:p>
      <w:pPr>
        <w:spacing w:after="280" w:afterAutospacing="1"/>
      </w:pPr>
      <w:r>
        <w:t>b) Thuyết minh dự án, phương án nâng cấp cơ sở vật chất kỹ thuật, nêu rõ mục tiêu, nội dung, hiệu quả kinh tế - xã hội;</w:t>
      </w:r>
    </w:p>
    <w:p>
      <w:pPr>
        <w:spacing w:after="280" w:afterAutospacing="1"/>
      </w:pPr>
      <w:r>
        <w:t>c) Hợp đồng, báo giá, hóa đơn hoặc tài liệu chứng minh giá trị đầu tư, chi phí nâng cấp cơ sở vật chất kỹ thuật;</w:t>
      </w:r>
    </w:p>
    <w:p>
      <w:pPr>
        <w:spacing w:after="280" w:afterAutospacing="1"/>
      </w:pPr>
      <w:r>
        <w:t>d) Báo cáo kết quả nghiệm thu, thanh lý hợp đồng đầu tư nâng cấp cơ sở vật chất kỹ thuật.</w:t>
      </w:r>
    </w:p>
    <w:p>
      <w:pPr>
        <w:spacing w:after="280" w:afterAutospacing="1"/>
      </w:pPr>
      <w:r>
        <w:rPr>
          <w:lang w:val="en-US"/>
        </w:rPr>
        <w:t>4.</w:t>
      </w:r>
      <w:r>
        <w:t>4. Trình tự, thủ tục thực hiện</w:t>
      </w:r>
    </w:p>
    <w:p>
      <w:pPr>
        <w:spacing w:after="280" w:afterAutospacing="1"/>
      </w:pPr>
      <w:r>
        <w:t xml:space="preserve">a) Quy định nộp hồ sơ: Tổ chức, cá nhân nộp 01 bộ hồ sơ trực tiếp hoặc qua dịch vụ bưu chính tới Trung tâm Phục vụ Hành chính công tỉnh, số </w:t>
      </w:r>
      <w:r>
        <w:rPr>
          <w:lang w:val="en-US"/>
        </w:rPr>
        <w:t>28 Đại lộ Lê Lợi</w:t>
      </w:r>
      <w:r>
        <w:t>,</w:t>
      </w:r>
      <w:r>
        <w:rPr>
          <w:lang w:val="en-US"/>
        </w:rPr>
        <w:t xml:space="preserve"> Phường Hạc Thành,</w:t>
      </w:r>
      <w:r>
        <w:t xml:space="preserve"> tỉnh </w:t>
      </w:r>
      <w:r>
        <w:rPr>
          <w:lang w:val="en-US"/>
        </w:rPr>
        <w:t>Thanh Hóa</w:t>
      </w:r>
      <w:r>
        <w:t xml:space="preserve"> hoặc Trung tâm Phục vụ Hành chính công cấp xã hoặc nộp trực tuyến tại địa chỉ: dichvucong.gov.vn;</w:t>
      </w:r>
    </w:p>
    <w:p>
      <w:pPr>
        <w:spacing w:after="280" w:afterAutospacing="1"/>
      </w:pPr>
      <w:r>
        <w:t>b) Trong thời hạn 15 ngày làm việc kể từ ngày nhận đầy đủ hồ sơ theo quy định, Sở Khoa học và Công nghệ có trách nhiệm thành lập Hội đồng thẩm định và trình Ủy ban nhân dân tỉnh xem xét quyết định;</w:t>
      </w:r>
    </w:p>
    <w:p>
      <w:pPr>
        <w:spacing w:after="280" w:afterAutospacing="1"/>
      </w:pPr>
      <w:r>
        <w:t>c) Trong thời gian 07 ngày làm việc kể từ ngày nhận được Tờ trình của Sở Khoa học và Công nghệ thì Ủy ban nhân dân tỉnh ban hành Quyết định hỗ trợ hoặc không hỗ trợ;</w:t>
      </w:r>
    </w:p>
    <w:p>
      <w:pPr>
        <w:spacing w:after="280" w:afterAutospacing="1"/>
        <w:rPr>
          <w:lang w:val="en-US"/>
        </w:rPr>
      </w:pPr>
      <w:r>
        <w:t>d) Trong thời hạn 03 ngày làm việc kể từ ngày có quyết định hỗ trợ của Ủy ban nhân dân tỉnh, Sở Khoa học và Công nghệ có trách nhiệm thực hiện việc hỗ trợ cho tổ chức, cá nhân theo quy định.</w:t>
      </w:r>
    </w:p>
    <w:p>
      <w:pPr>
        <w:spacing w:after="280" w:afterAutospacing="1"/>
        <w:rPr>
          <w:rFonts w:ascii="Times New Roman Bold" w:hAnsi="Times New Roman Bold"/>
          <w:spacing w:val="-4"/>
          <w:lang w:val="en-US"/>
        </w:rPr>
      </w:pPr>
      <w:bookmarkStart w:id="5" w:name="dieu_14"/>
      <w:r>
        <w:rPr>
          <w:rFonts w:ascii="Times New Roman Bold" w:hAnsi="Times New Roman Bold"/>
          <w:b/>
          <w:bCs/>
          <w:spacing w:val="-4"/>
          <w:lang w:val="en-US"/>
        </w:rPr>
        <w:t>5</w:t>
      </w:r>
      <w:r>
        <w:rPr>
          <w:rFonts w:ascii="Times New Roman Bold" w:hAnsi="Times New Roman Bold"/>
          <w:b/>
          <w:bCs/>
          <w:spacing w:val="-4"/>
        </w:rPr>
        <w:t xml:space="preserve">. Hỗ trợ doanh nghiệp khởi nghiệp sáng tạo trên địa bàn tỉnh </w:t>
      </w:r>
      <w:bookmarkEnd w:id="5"/>
      <w:r>
        <w:rPr>
          <w:rFonts w:ascii="Times New Roman Bold" w:hAnsi="Times New Roman Bold"/>
          <w:b/>
          <w:bCs/>
          <w:spacing w:val="-4"/>
          <w:lang w:val="en-US"/>
        </w:rPr>
        <w:t>Thanh Hóa</w:t>
      </w:r>
    </w:p>
    <w:p>
      <w:pPr>
        <w:spacing w:after="280" w:afterAutospacing="1"/>
      </w:pPr>
      <w:r>
        <w:rPr>
          <w:lang w:val="en-US"/>
        </w:rPr>
        <w:t>5.</w:t>
      </w:r>
      <w:r>
        <w:t>1. Điều kiện hỗ trợ</w:t>
      </w:r>
    </w:p>
    <w:p>
      <w:pPr>
        <w:spacing w:after="280" w:afterAutospacing="1"/>
      </w:pPr>
      <w:r>
        <w:t xml:space="preserve">a) Cá nhân, tổ chức hoặc doanh nghiệp có ý tưởng, dự án, sản phẩm khởi nghiệp sáng tạo được lựa chọn tham gia chương trình, nhiệm vụ hỗ trợ khởi nghiệp sáng tạo do Sở Khoa học và Công nghệ tổ chức hoặc giao đơn vị chủ trì triển khai. Ưu tiên các dự án lọt tốp 20 cuộc thi tìm kiếm tài năng khởi nghiệp </w:t>
      </w:r>
      <w:r>
        <w:lastRenderedPageBreak/>
        <w:t>sáng tạo Thanh Hóa mở rộng hàng năm và các dự án đạt giải các tỉnh hoặc quốc gia về khởi nghiệp ở Thanh Hóa và doanh nghiệp thực hiện nghĩa vụ nộp thuế vào ngân sách Nhà nước tại địa bàn tỉnh Thanh Hóa;</w:t>
      </w:r>
    </w:p>
    <w:p>
      <w:pPr>
        <w:spacing w:after="280" w:afterAutospacing="1"/>
      </w:pPr>
      <w:r>
        <w:t>b) Dự án, doanh nghiệp khởi nghiệp sáng tạo có nội dung đổi mới về công nghệ, sản phẩm, mô hình kinh doanh, có khả năng thương mại hóa và tăng trưởng nhanh;</w:t>
      </w:r>
    </w:p>
    <w:p>
      <w:pPr>
        <w:spacing w:after="280" w:afterAutospacing="1"/>
      </w:pPr>
      <w:r>
        <w:t>c) Các dự án được hỗ trợ theo từng giai đoạn phát triển (tiền ươm tạo - ươm tạo - tăng tốc - phát triển doanh nghiệp) theo kế hoạch hàng năm được phê duyệt.</w:t>
      </w:r>
    </w:p>
    <w:p>
      <w:pPr>
        <w:spacing w:after="280" w:afterAutospacing="1"/>
      </w:pPr>
      <w:r>
        <w:rPr>
          <w:lang w:val="en-US"/>
        </w:rPr>
        <w:t>5.</w:t>
      </w:r>
      <w:r>
        <w:t xml:space="preserve">2. Nội dung và mức hỗ trợ: Hỗ trợ </w:t>
      </w:r>
      <w:r>
        <w:rPr>
          <w:lang w:val="en-US"/>
        </w:rPr>
        <w:t>thông</w:t>
      </w:r>
      <w:r>
        <w:t xml:space="preserve"> qua các đơn vị hỗ trợ khởi nghiệp sáng tạo (Trung tâm đổi mới sáng tạo, Trung tâm hỗ trợ khởi nghiệp sáng tạo, cơ sở ươm tạo) theo các giai đoạn:</w:t>
      </w:r>
    </w:p>
    <w:p>
      <w:pPr>
        <w:spacing w:after="280" w:afterAutospacing="1"/>
      </w:pPr>
      <w:r>
        <w:t>a) Giai đoạn tiền ươm tạo: Hỗ trợ hình thành, hoàn thiện ý tưởng khởi nghiệp; xây dựng mô hình kinh doanh sơ bộ; nghiên cứu tính khả thi. Mức hỗ trợ tối đa 20.000.000 đồng/dự án;</w:t>
      </w:r>
    </w:p>
    <w:p>
      <w:pPr>
        <w:spacing w:after="280" w:afterAutospacing="1"/>
      </w:pPr>
      <w:r>
        <w:t>b) Giai đoạn ươm tạo: Hỗ trợ các dự án có sản phẩm tiềm năng, có khả năng thương mại hóa ra thị trường để hoàn thiện sản phẩm mẫu, đăng ký bảo hộ sở hữu trí tuệ, thử nghiệm thị trường, xây dựng chiến lược tiếp cận khách hàng. Mức hỗ trợ tối đa 50.000.000 đồng/dự án;</w:t>
      </w:r>
    </w:p>
    <w:p>
      <w:pPr>
        <w:spacing w:after="280" w:afterAutospacing="1"/>
      </w:pPr>
      <w:r>
        <w:t>c) Giai đoạn tăng tốc: Hỗ trợ mở rộng quy mô sản xuất thử, phát triển thị trường và gọi vốn đầu tư, tư vấn chiến lược kinh doanh, xây dựng hệ thống quản trị, kết nối nhà đầu tư và quỹ đầu tư mạo hiểm. Mức hỗ trợ tối đa 70.000.000 đồng/dự án;</w:t>
      </w:r>
    </w:p>
    <w:p>
      <w:pPr>
        <w:spacing w:after="280" w:afterAutospacing="1"/>
      </w:pPr>
      <w:r>
        <w:t>d) Hỗ trợ phát triển doanh nghiệp khởi nghiệp sáng tạo: Dự án khởi nghiệp đã hình thành doanh nghiệp, có sản phẩm thương mại hóa, đang mở rộng quy mô thị trường được hỗ trợ để: Nghiên cứu, cải tiến sản phẩm, quy trình sản xuất đầu tư, ứng dụng công nghệ mới; xây dựng tiêu chuẩn, chứng nhận chất lượng; mở rộng thị trường, kết nối chuỗi cung ứng, phát triển thương hiệu. Mức hỗ trợ tối đa 500.000.000 đồng/dự án/doanh nghiệp, căn cứ vào quy mô, hiệu quả và khả năng nhân rộng do Hội đồng Khoa học và Công nghệ thẩm định, Giám đốc Sở Khoa học và Công nghệ trình Ủy ban nhân dân tỉnh phê duyệt;</w:t>
      </w:r>
    </w:p>
    <w:p>
      <w:pPr>
        <w:spacing w:after="280" w:afterAutospacing="1"/>
        <w:rPr>
          <w:lang w:val="en-US"/>
        </w:rPr>
      </w:pPr>
      <w:r>
        <w:t>đ) Hỗ trợ thuế thu nhập doanh nghiệp: Doanh nghiệp khởi nghiệp sáng tạo tổ chức hỗ trợ khởi nghiệp sáng tạo được xem xét hỗ trợ tài chính tương đương tối đa 100% số thuế thu nhập doanh nghiệp đã nộp trong năm trước liền kề trong thời hạn 05 năm đầu có lãi để tái đầu tư mở rộng sản xuất</w:t>
      </w:r>
      <w:r>
        <w:rPr>
          <w:lang w:val="en-US"/>
        </w:rPr>
        <w:t>.</w:t>
      </w:r>
    </w:p>
    <w:p>
      <w:pPr>
        <w:spacing w:after="280" w:afterAutospacing="1"/>
      </w:pPr>
      <w:r>
        <w:t xml:space="preserve">e) Cá nhân là chuyên gia, nhà khoa học, kỹ sư, người lao động trình độ cao đang làm việc tại doanh nghiệp khởi nghiệp sáng tạo, tổ chức hỗ trợ khởi nghiệp </w:t>
      </w:r>
      <w:r>
        <w:lastRenderedPageBreak/>
        <w:t>sáng tạo được xem xét hỗ trợ tương đương tối đa 80% số thuế thu nhập cá nhân đã nộp trong năm trước liền kề với mức hỗ trợ không quá 60.000.000 đồng/1 năm/người, tối đa 05 năm kể từ khi ký hợp đồng lao động lần đầu.</w:t>
      </w:r>
    </w:p>
    <w:p>
      <w:pPr>
        <w:spacing w:after="280" w:afterAutospacing="1"/>
      </w:pPr>
      <w:r>
        <w:rPr>
          <w:lang w:val="en-US"/>
        </w:rPr>
        <w:t>5.</w:t>
      </w:r>
      <w:r>
        <w:t>3. Hồ sơ gồm:</w:t>
      </w:r>
    </w:p>
    <w:p>
      <w:pPr>
        <w:spacing w:after="280" w:afterAutospacing="1"/>
        <w:rPr>
          <w:lang w:val="en-US"/>
        </w:rPr>
      </w:pPr>
      <w:r>
        <w:t>a) Đơn đề nghị hỗ trợ dự án khởi nghiệp sáng tạo của tổ chức hỗ trợ khởi nghiệp sáng tạo kèm theo danh mục các dự án đề nghị hỗ trợ</w:t>
      </w:r>
      <w:r>
        <w:rPr>
          <w:lang w:val="en-US"/>
        </w:rPr>
        <w:t>.</w:t>
      </w:r>
    </w:p>
    <w:p>
      <w:pPr>
        <w:spacing w:after="280" w:afterAutospacing="1"/>
      </w:pPr>
      <w:r>
        <w:t>b) Thuyết minh dự án khởi nghiệp sáng tạo hoặc kế hoạch phát triển doanh nghiệp khởi nghiệp sáng tạo;</w:t>
      </w:r>
    </w:p>
    <w:p>
      <w:pPr>
        <w:spacing w:after="280" w:afterAutospacing="1"/>
      </w:pPr>
      <w:r>
        <w:t>c) Dự toán chi phí, kế hoạch sử dụng và cam kết thực hiện đúng mục tiêu hỗ trợ;</w:t>
      </w:r>
    </w:p>
    <w:p>
      <w:pPr>
        <w:spacing w:after="280" w:afterAutospacing="1"/>
      </w:pPr>
      <w:r>
        <w:t>d) Giấy tờ chứng minh hoàn thành nghĩa vụ thuế (trường hợp đề nghị hỗ trợ thuế).</w:t>
      </w:r>
    </w:p>
    <w:p>
      <w:pPr>
        <w:spacing w:after="280" w:afterAutospacing="1"/>
      </w:pPr>
      <w:r>
        <w:rPr>
          <w:lang w:val="en-US"/>
        </w:rPr>
        <w:t>5.</w:t>
      </w:r>
      <w:r>
        <w:t>4. Trình tự, thủ tục thực hiện</w:t>
      </w:r>
    </w:p>
    <w:p>
      <w:pPr>
        <w:spacing w:after="280" w:afterAutospacing="1"/>
        <w:rPr>
          <w:lang w:val="en-US"/>
        </w:rPr>
      </w:pPr>
      <w:r>
        <w:t xml:space="preserve">a) Quy định nộp hồ sơ: Tổ chức, cá nhân nộp 01 bộ hồ sơ trực tiếp hoặc qua dịch vụ bưu chính tới Trung tâm Phục vụ Hành chính công tỉnh, số </w:t>
      </w:r>
      <w:r>
        <w:rPr>
          <w:lang w:val="en-US"/>
        </w:rPr>
        <w:t>28 Đại lộ Lê Lợi</w:t>
      </w:r>
      <w:r>
        <w:t>,</w:t>
      </w:r>
      <w:r>
        <w:rPr>
          <w:lang w:val="en-US"/>
        </w:rPr>
        <w:t xml:space="preserve"> Phường Hạc Thành,</w:t>
      </w:r>
      <w:r>
        <w:t xml:space="preserve"> tỉnh </w:t>
      </w:r>
      <w:r>
        <w:rPr>
          <w:lang w:val="en-US"/>
        </w:rPr>
        <w:t>Thanh Hóa</w:t>
      </w:r>
      <w:r>
        <w:t xml:space="preserve"> hoặc Trung tâm Phục vụ Hành chính công cấp xã hoặc nộp trực tuyến tại địa chỉ: dichvucong.gov.vn</w:t>
      </w:r>
      <w:r>
        <w:rPr>
          <w:lang w:val="en-US"/>
        </w:rPr>
        <w:t>;</w:t>
      </w:r>
    </w:p>
    <w:p>
      <w:pPr>
        <w:spacing w:after="280" w:afterAutospacing="1"/>
      </w:pPr>
      <w:r>
        <w:t>b) Mỗi năm nhận hồ sơ 2 đợt:</w:t>
      </w:r>
    </w:p>
    <w:p>
      <w:pPr>
        <w:spacing w:after="280" w:afterAutospacing="1"/>
        <w:rPr>
          <w:lang w:val="en-US"/>
        </w:rPr>
      </w:pPr>
      <w:r>
        <w:t>- Đợt 1: Từ ngày 01 tháng 3 đến ngày 31 tháng 3</w:t>
      </w:r>
      <w:r>
        <w:rPr>
          <w:lang w:val="en-US"/>
        </w:rPr>
        <w:t>.</w:t>
      </w:r>
    </w:p>
    <w:p>
      <w:pPr>
        <w:spacing w:after="280" w:afterAutospacing="1"/>
      </w:pPr>
      <w:r>
        <w:t>- Đợt 2: Từ ngày 01 tháng 11 đến ngày 30 tháng 11.</w:t>
      </w:r>
    </w:p>
    <w:p>
      <w:pPr>
        <w:spacing w:after="280" w:afterAutospacing="1"/>
      </w:pPr>
      <w:r>
        <w:t>c) Trong thời hạn 15 ngày làm việc kể từ ngày hết hạn nhận hồ sơ, Sở Khoa học và Công nghệ có trách nhiệm thành lập Hội đồng thẩm định và trình Ủy ban nhân dân tỉnh xem xét quyết định;</w:t>
      </w:r>
    </w:p>
    <w:p>
      <w:pPr>
        <w:spacing w:after="280" w:afterAutospacing="1"/>
      </w:pPr>
      <w:r>
        <w:t>d) Trong thời gian 07 ngày làm việc kể từ ngày nhận được Tờ trình của Sở Khoa học và Công nghệ thì Ủy ban nhân dân tỉnh ban hành Quyết định hỗ trợ hoặc không hỗ trợ;</w:t>
      </w:r>
    </w:p>
    <w:p>
      <w:pPr>
        <w:spacing w:after="280" w:afterAutospacing="1"/>
      </w:pPr>
      <w:r>
        <w:t>đ) Trong thời hạn 03 ngày làm việc kể từ ngày có quyết định hỗ trợ của Ủy ban nhân dân tỉnh, Sở Khoa học và Công nghệ có trách nhiệm thực hiện việc giao dự toán cho đơn vị hỗ trợ khởi nghiệp sáng tạo để tiến hành hỗ trợ ươm tạo theo quy trình;</w:t>
      </w:r>
    </w:p>
    <w:p>
      <w:pPr>
        <w:spacing w:after="280" w:afterAutospacing="1"/>
        <w:rPr>
          <w:lang w:val="en-US"/>
        </w:rPr>
      </w:pPr>
      <w:r>
        <w:t>e) Kết thúc một giai đoạn ươm tạo, đơn vị tổ chức ươm tạo đánh giá tình hình thực tế của doanh nghiệp, tham mưu cho Sở Khoa học và Công nghệ để hỗ trợ ươm tạo giai đoạn tiếp theo hay dừng lại.</w:t>
      </w:r>
    </w:p>
    <w:p>
      <w:pPr>
        <w:spacing w:after="280" w:afterAutospacing="1"/>
        <w:rPr>
          <w:lang w:val="en-US"/>
        </w:rPr>
      </w:pPr>
      <w:bookmarkStart w:id="6" w:name="dieu_16"/>
      <w:r>
        <w:rPr>
          <w:b/>
          <w:bCs/>
          <w:lang w:val="en-US"/>
        </w:rPr>
        <w:lastRenderedPageBreak/>
        <w:t>6</w:t>
      </w:r>
      <w:r>
        <w:rPr>
          <w:b/>
          <w:bCs/>
        </w:rPr>
        <w:t xml:space="preserve">. Hỗ trợ tổ chức, cá nhân thử nghiệm sản phẩm, dịch vụ, mô hình mới trong lĩnh vực khoa học, công nghệ và đổi mới sáng tạo trên địa bàn tỉnh </w:t>
      </w:r>
      <w:bookmarkEnd w:id="6"/>
      <w:r>
        <w:rPr>
          <w:b/>
          <w:bCs/>
          <w:lang w:val="en-US"/>
        </w:rPr>
        <w:t>Thanh Hóa</w:t>
      </w:r>
    </w:p>
    <w:p>
      <w:pPr>
        <w:spacing w:after="280" w:afterAutospacing="1"/>
      </w:pPr>
      <w:r>
        <w:rPr>
          <w:lang w:val="en-US"/>
        </w:rPr>
        <w:t>6.</w:t>
      </w:r>
      <w:r>
        <w:t>1. Điều kiện hỗ trợ</w:t>
      </w:r>
    </w:p>
    <w:p>
      <w:pPr>
        <w:spacing w:after="280" w:afterAutospacing="1"/>
        <w:rPr>
          <w:lang w:val="en-US"/>
        </w:rPr>
      </w:pPr>
      <w:r>
        <w:rPr>
          <w:lang w:val="en-US"/>
        </w:rPr>
        <w:t xml:space="preserve">a) </w:t>
      </w:r>
      <w:r>
        <w:t xml:space="preserve">Tổ chức, cá nhân sản xuất, kinh doanh có trụ sở trên địa bàn tỉnh </w:t>
      </w:r>
      <w:r>
        <w:rPr>
          <w:lang w:val="en-US"/>
        </w:rPr>
        <w:t>Thanh Hóa</w:t>
      </w:r>
      <w:r>
        <w:t xml:space="preserve"> và thực hiện nghĩa vụ nộp thuế vào ngân sách Nhà nước tại địa bàn tỉnh </w:t>
      </w:r>
      <w:r>
        <w:rPr>
          <w:lang w:val="en-US"/>
        </w:rPr>
        <w:t>Thanh Hóa;</w:t>
      </w:r>
    </w:p>
    <w:p>
      <w:pPr>
        <w:spacing w:after="280" w:afterAutospacing="1"/>
      </w:pPr>
      <w:r>
        <w:rPr>
          <w:lang w:val="en-US"/>
        </w:rPr>
        <w:t>b</w:t>
      </w:r>
      <w:r>
        <w:t>) Việc thử nghiệm phải được Ủy ban nhân dân tỉnh phê duyệt bằng văn bản trong đó: xác định rõ phạm vi, thời gian, đối tượng, nội dung và quy mô thử nghiệm để đưa vào danh mục nhiệm vụ và giao thực hiện theo quy trình thực hiện nhiệm vụ khoa học và công nghệ.</w:t>
      </w:r>
    </w:p>
    <w:p>
      <w:pPr>
        <w:spacing w:after="280" w:afterAutospacing="1"/>
      </w:pPr>
      <w:r>
        <w:rPr>
          <w:lang w:val="en-US"/>
        </w:rPr>
        <w:t>c</w:t>
      </w:r>
      <w:r>
        <w:t>) Mọi hoạt động thử nghiệm phải bảo đảm an toàn, tuân thủ pháp luật không ảnh hưởng đến an ninh, trật tự, môi trường, sức khỏe cộng đồng và quyền, lợi ích hợp pháp của tổ chức, cá nhân khác;</w:t>
      </w:r>
    </w:p>
    <w:p>
      <w:pPr>
        <w:spacing w:after="280" w:afterAutospacing="1"/>
      </w:pPr>
      <w:r>
        <w:rPr>
          <w:lang w:val="en-US"/>
        </w:rPr>
        <w:t>d</w:t>
      </w:r>
      <w:r>
        <w:t>) Kết quả thử nghiệm không được coi là căn cứ pháp lý để thương mại hóa đại trà khi chưa có quy định pháp luật điều chỉnh hoặc cơ quan có thẩm quyền cho phép.</w:t>
      </w:r>
    </w:p>
    <w:p>
      <w:pPr>
        <w:spacing w:after="280" w:afterAutospacing="1"/>
      </w:pPr>
      <w:r>
        <w:rPr>
          <w:lang w:val="en-US"/>
        </w:rPr>
        <w:t>e</w:t>
      </w:r>
      <w:r>
        <w:t xml:space="preserve"> ) Kết thúc thời gian thử nghiệm, tổ chức, cá nhân phải báo cáo kết quả đánh giá tác động, kiến nghị hoàn thiện cơ chế, chính sách để xem xét nhân rộng. ’</w:t>
      </w:r>
    </w:p>
    <w:p>
      <w:pPr>
        <w:spacing w:after="280" w:afterAutospacing="1"/>
      </w:pPr>
      <w:r>
        <w:rPr>
          <w:lang w:val="en-US"/>
        </w:rPr>
        <w:t>6.</w:t>
      </w:r>
      <w:r>
        <w:t>2. Nội dung, mức hỗ trợ</w:t>
      </w:r>
    </w:p>
    <w:p>
      <w:pPr>
        <w:spacing w:after="280" w:afterAutospacing="1"/>
      </w:pPr>
      <w:r>
        <w:t>a) Hỗ trợ chi phí thử nghiệm, hoàn thiện công nghệ, sản phẩm, dịch vụ trong thời gian triển khai cơ chế thử nghiệm có kiểm soát; hỗ trợ tư vấn pháp lý thủ tục đăng ký sở hữu trí tuệ, đánh giá an toàn thông tin, tiêu chuẩn - đo lường – chất lượng; hỗ trợ truyền thông, kết nối đối tác, đánh giá thị trường và chuyển giao kết quả thử nghiệm khi kết thúc giai đoạn thử nghiệm thông qua thực hiện nhiệm vụ khoa học và công nghệ;</w:t>
      </w:r>
    </w:p>
    <w:p>
      <w:pPr>
        <w:spacing w:after="280" w:afterAutospacing="1"/>
      </w:pPr>
      <w:r>
        <w:t xml:space="preserve">b) </w:t>
      </w:r>
      <w:r>
        <w:rPr>
          <w:lang w:val="en-US"/>
        </w:rPr>
        <w:t>Mức</w:t>
      </w:r>
      <w:r>
        <w:t xml:space="preserve"> hỗ trợ: Tối đa 50% tổng kinh phí thực hiện dự án thử nghiệm, nhưng không quá 500.000.000 đồng/dự án. Mức cụ thể căn cứ theo phương án thử nghiệm được thẩm định và phê duyệt khi thực hiện nhiệm vụ khoa học và công nghệ.</w:t>
      </w:r>
    </w:p>
    <w:p>
      <w:pPr>
        <w:spacing w:after="280" w:afterAutospacing="1"/>
      </w:pPr>
      <w:r>
        <w:rPr>
          <w:lang w:val="en-US"/>
        </w:rPr>
        <w:t>6.</w:t>
      </w:r>
      <w:r>
        <w:t>3. Hồ sơ gồm:</w:t>
      </w:r>
    </w:p>
    <w:p>
      <w:pPr>
        <w:spacing w:after="280" w:afterAutospacing="1"/>
      </w:pPr>
      <w:r>
        <w:t>a) Đơn đề nghị hỗ trợ thử nghiệm có kiểm soát (theo Mẫu Phụ lục 01 được ban hành kèm theo Quy định này);</w:t>
      </w:r>
    </w:p>
    <w:p>
      <w:pPr>
        <w:spacing w:after="280" w:afterAutospacing="1"/>
      </w:pPr>
      <w:r>
        <w:lastRenderedPageBreak/>
        <w:t>b) Thuyết minh dự án thử nghiệm, trong đó nêu rõ nội dung, mục tiêu, phạm vi, thời gian, quy trình và phương án triển khai thử nghiệm;</w:t>
      </w:r>
    </w:p>
    <w:p>
      <w:pPr>
        <w:spacing w:after="280" w:afterAutospacing="1"/>
      </w:pPr>
      <w:r>
        <w:t>c) Tài liệu chứng minh năng lực của tổ chức, cá nhân thực hiện (Giấy đăng ký doanh nghiệp, nhân lực, cơ sở vật chất, năng lực tài chính);</w:t>
      </w:r>
    </w:p>
    <w:p>
      <w:pPr>
        <w:spacing w:after="280" w:afterAutospacing="1"/>
      </w:pPr>
      <w:r>
        <w:t>d) Dự toán kinh phí thực hiện và các minh chứng chi phí liên quan.</w:t>
      </w:r>
    </w:p>
    <w:p>
      <w:pPr>
        <w:spacing w:after="280" w:afterAutospacing="1"/>
      </w:pPr>
      <w:r>
        <w:rPr>
          <w:lang w:val="en-US"/>
        </w:rPr>
        <w:t>6.</w:t>
      </w:r>
      <w:r>
        <w:t>4. Trình tự, thủ tục thực hiện</w:t>
      </w:r>
    </w:p>
    <w:p>
      <w:pPr>
        <w:spacing w:after="280" w:afterAutospacing="1"/>
        <w:rPr>
          <w:lang w:val="en-US"/>
        </w:rPr>
      </w:pPr>
      <w:r>
        <w:t xml:space="preserve">a) Quy định nộp hồ sơ: Tổ chức, cá nhân nộp 01 bộ hồ sơ trực tiếp hoặc qua dịch vụ bưu chính tới Trung tâm Phục vụ Hành chính công tỉnh, số </w:t>
      </w:r>
      <w:r>
        <w:rPr>
          <w:lang w:val="en-US"/>
        </w:rPr>
        <w:t>28 Đại lộ Lê Lợi</w:t>
      </w:r>
      <w:r>
        <w:t>,</w:t>
      </w:r>
      <w:r>
        <w:rPr>
          <w:lang w:val="en-US"/>
        </w:rPr>
        <w:t xml:space="preserve"> Phường Hạc Thành,</w:t>
      </w:r>
      <w:r>
        <w:t xml:space="preserve"> tỉnh </w:t>
      </w:r>
      <w:r>
        <w:rPr>
          <w:lang w:val="en-US"/>
        </w:rPr>
        <w:t>Thanh Hóa</w:t>
      </w:r>
      <w:r>
        <w:t xml:space="preserve"> hoặc Trung tâm Phục vụ Hành chính công cấp xã hoặc nộp trực tuyến tại địa chỉ: dichvucong.gov.vn</w:t>
      </w:r>
      <w:r>
        <w:rPr>
          <w:lang w:val="en-US"/>
        </w:rPr>
        <w:t>;</w:t>
      </w:r>
    </w:p>
    <w:p>
      <w:pPr>
        <w:spacing w:after="280" w:afterAutospacing="1"/>
      </w:pPr>
      <w:r>
        <w:t>b) Trong thời hạn 15 ngày làm việc kể từ ngày nhận được hồ sơ, Sở Khoa học và Công nghệ có trách nhiệm thành lập hội đồng thẩm định về nội dung kinh phí và trình Ủy ban nhân dân tỉnh xem xét quyết định;</w:t>
      </w:r>
    </w:p>
    <w:p>
      <w:pPr>
        <w:spacing w:after="280" w:afterAutospacing="1"/>
      </w:pPr>
      <w:r>
        <w:t>c) Trong thời gian 07 ngày làm việc kể từ ngày nhận được Tờ trình của Sở Khoa học và Công nghệ thì Ủy ban nhân dân tỉnh ban hành Quyết định hỗ trợ hoặc không hỗ trợ;</w:t>
      </w:r>
    </w:p>
    <w:p>
      <w:pPr>
        <w:spacing w:after="280" w:afterAutospacing="1"/>
      </w:pPr>
      <w:r>
        <w:t>d) Trong thời hạn 03 ngày làm việc kể từ ngày có quyết định hỗ trợ của Ủy ban nhân dân tỉnh, Sở Khoa học và Công nghệ tiến hành hỗ trợ theo hình thức giao thực hiện theo nhiệm vụ khoa học và công nghệ;</w:t>
      </w:r>
    </w:p>
    <w:p>
      <w:pPr>
        <w:spacing w:after="280" w:afterAutospacing="1"/>
        <w:rPr>
          <w:lang w:val="en-US"/>
        </w:rPr>
      </w:pPr>
      <w:r>
        <w:t>đ) Trường hợp tổ chức, cá nhân vi phạm quy định pháp luật, Ủy ban nhân dân tỉnh thu hồi quyết định phê duyệt, buộc hoàn trả toàn bộ kinh phí hỗ trợ và xử lý theo quy định pháp luật hiện hành.</w:t>
      </w:r>
    </w:p>
    <w:p>
      <w:pPr>
        <w:spacing w:after="280" w:afterAutospacing="1"/>
      </w:pPr>
      <w:bookmarkStart w:id="7" w:name="dieu_19"/>
      <w:r>
        <w:rPr>
          <w:b/>
          <w:bCs/>
          <w:lang w:val="en-US"/>
        </w:rPr>
        <w:t>7</w:t>
      </w:r>
      <w:r>
        <w:rPr>
          <w:b/>
          <w:bCs/>
        </w:rPr>
        <w:t>. Hỗ trợ áp dụng hệ thống quản lý chất lượng, công cụ cải tiến năng suất và chương trình đảm bảo đo lường</w:t>
      </w:r>
      <w:bookmarkEnd w:id="7"/>
    </w:p>
    <w:p>
      <w:pPr>
        <w:spacing w:after="280" w:afterAutospacing="1"/>
      </w:pPr>
      <w:r>
        <w:rPr>
          <w:lang w:val="en-US"/>
        </w:rPr>
        <w:t>7.</w:t>
      </w:r>
      <w:r>
        <w:t>1. Điều kiện hỗ trợ</w:t>
      </w:r>
    </w:p>
    <w:p>
      <w:pPr>
        <w:spacing w:after="280" w:afterAutospacing="1"/>
      </w:pPr>
      <w:r>
        <w:t>a) Tổ chức, cá nhân sản xuất, kinh doanh có trụ sở trên địa bàn tỉnh Thanh Hóa và thực hiện nghĩa vụ nộp thuế vào ngân sách Nhà nước tại địa bàn tỉnh Thanh Hóa;</w:t>
      </w:r>
    </w:p>
    <w:p>
      <w:pPr>
        <w:spacing w:after="280" w:afterAutospacing="1"/>
      </w:pPr>
      <w:r>
        <w:t>b) Có phương án hoặc kế hoạch áp dụng hệ thống quản lý chất lượng, công cụ cải tiến năng suất hoặc chương trình đảm bảo đo lường, mang lại hiệu quả thiết thực;</w:t>
      </w:r>
    </w:p>
    <w:p>
      <w:pPr>
        <w:spacing w:after="280" w:afterAutospacing="1"/>
      </w:pPr>
      <w:r>
        <w:t>c) Chưa nhận hỗ trợ từ chương trình, đề án, chính sách khác của Nhà nước cho cùng nội dung trong cùng kỳ;</w:t>
      </w:r>
    </w:p>
    <w:p>
      <w:pPr>
        <w:spacing w:after="280" w:afterAutospacing="1"/>
      </w:pPr>
      <w:r>
        <w:lastRenderedPageBreak/>
        <w:t>d) Tự đảm bảo nguồn lực đối ứng còn lại và cam kết duy trì, vận hành hệ thống/công cụ sau hỗ trợ.</w:t>
      </w:r>
    </w:p>
    <w:p>
      <w:pPr>
        <w:spacing w:after="280" w:afterAutospacing="1"/>
      </w:pPr>
      <w:r>
        <w:rPr>
          <w:lang w:val="en-US"/>
        </w:rPr>
        <w:t>7.</w:t>
      </w:r>
      <w:r>
        <w:t>2. Nội dung và mức hỗ trợ</w:t>
      </w:r>
    </w:p>
    <w:p>
      <w:pPr>
        <w:spacing w:after="280" w:afterAutospacing="1"/>
      </w:pPr>
      <w:r>
        <w:t>a) Hỗ trợ xây dựng, áp dụng và chứng nhận lần đầu hệ thống quản lý chất lượng theo tiêu chuẩn quốc gia, quốc tế: 50.000.000 đồng/hệ thống, tối đa 03 hệ thống/cơ sở;</w:t>
      </w:r>
    </w:p>
    <w:p>
      <w:pPr>
        <w:spacing w:after="280" w:afterAutospacing="1"/>
      </w:pPr>
      <w:r>
        <w:t>b) Hỗ trợ xây dựng, áp dụng công cụ cải tiến năng suất chất lượng (5S, Kaizen, Lean, Six Sigma, KPI…): 50.000.000 đồng/công cụ, tối đa 02 công cụ/cơ sở;</w:t>
      </w:r>
    </w:p>
    <w:p>
      <w:pPr>
        <w:spacing w:after="280" w:afterAutospacing="1"/>
      </w:pPr>
      <w:r>
        <w:t>c) Hỗ trợ tư vấn xây dựng và công nhận hệ thống quản lý ISO/IEC 17025 cho phòng thử nghiệm: 70.000.000 đồng/phòng;</w:t>
      </w:r>
    </w:p>
    <w:p>
      <w:pPr>
        <w:spacing w:after="280" w:afterAutospacing="1"/>
      </w:pPr>
      <w:r>
        <w:t>d) Hỗ trợ tư vấn xây dựng và công nhận ISO 15189 cho các phòng xét nghiệm y tế: 100.000.000 đồng/phòng;</w:t>
      </w:r>
    </w:p>
    <w:p>
      <w:pPr>
        <w:spacing w:after="280" w:afterAutospacing="1"/>
      </w:pPr>
      <w:r>
        <w:t>đ) Hỗ trợ xây dựng, áp dụng chương trình đảm bảo đo lường: 20.000.000 đồng/cơ sở.</w:t>
      </w:r>
    </w:p>
    <w:p>
      <w:pPr>
        <w:spacing w:after="280" w:afterAutospacing="1"/>
      </w:pPr>
      <w:r>
        <w:rPr>
          <w:lang w:val="en-US"/>
        </w:rPr>
        <w:t>7.</w:t>
      </w:r>
      <w:r>
        <w:t>3. Hồ sơ gồm:</w:t>
      </w:r>
    </w:p>
    <w:p>
      <w:pPr>
        <w:spacing w:after="280" w:afterAutospacing="1"/>
      </w:pPr>
      <w:r>
        <w:t>a) Đơn đề nghị hỗ trợ (theo Mẫu Phụ lục 01 được ban hành kèm theo Quy định này);</w:t>
      </w:r>
    </w:p>
    <w:p>
      <w:pPr>
        <w:spacing w:after="280" w:afterAutospacing="1"/>
      </w:pPr>
      <w:r>
        <w:t>b) Kế hoạch hoặc phương án áp dụng hệ thống quản lý chất lượng, công cụ cải tiến năng suất hoặc chương trình đảm bảo đo lường (nêu tối thiểu: Mục tiêu phạm vi áp dụng, nội dung công việc chính, thời gian thực hiện, dự toán chi phí);</w:t>
      </w:r>
    </w:p>
    <w:p>
      <w:pPr>
        <w:spacing w:after="280" w:afterAutospacing="1"/>
      </w:pPr>
      <w:r>
        <w:t>c) Báo giá hoặc đề xuất kỹ thuật của đơn vị tư vấn/chứng nhận (nếu có; không bắt buộc phải ký hợp đồng trước);</w:t>
      </w:r>
    </w:p>
    <w:p>
      <w:pPr>
        <w:spacing w:after="280" w:afterAutospacing="1"/>
      </w:pPr>
      <w:r>
        <w:t>d) Tài liệu chứng minh kết quả thực hiện khi thanh toán: Hệ thống được chứng nhận; báo cáo áp dụng công cụ cải tiến; hồ sơ chương trình đảm bảo đo lường; biên bản nghiệm thu; hóa đơn, chứng từ hợp lệ;</w:t>
      </w:r>
    </w:p>
    <w:p>
      <w:pPr>
        <w:spacing w:after="280" w:afterAutospacing="1"/>
        <w:rPr>
          <w:lang w:val="en-US"/>
        </w:rPr>
      </w:pPr>
      <w:r>
        <w:t>đ) Các tài liệu liên quan khác (nếu có) theo yêu cầu thẩm định của Sở Khoa học và Công nghệ.</w:t>
      </w:r>
    </w:p>
    <w:p>
      <w:pPr>
        <w:spacing w:after="280" w:afterAutospacing="1"/>
        <w:rPr>
          <w:lang w:val="en-US"/>
        </w:rPr>
      </w:pPr>
      <w:bookmarkStart w:id="8" w:name="dieu_20"/>
      <w:r>
        <w:rPr>
          <w:b/>
          <w:bCs/>
          <w:lang w:val="en-US"/>
        </w:rPr>
        <w:t>8</w:t>
      </w:r>
      <w:r>
        <w:rPr>
          <w:b/>
          <w:bCs/>
        </w:rPr>
        <w:t>. Hỗ trợ tổ chức, cá nhân xây dựng và áp dụng tiêu chuẩn cho sản phẩm, hàng hóa, dịch vụ</w:t>
      </w:r>
      <w:bookmarkEnd w:id="8"/>
      <w:r>
        <w:rPr>
          <w:b/>
          <w:bCs/>
          <w:lang w:val="en-US"/>
        </w:rPr>
        <w:t xml:space="preserve"> đo lường chất lượng</w:t>
      </w:r>
    </w:p>
    <w:p>
      <w:pPr>
        <w:spacing w:after="280" w:afterAutospacing="1"/>
      </w:pPr>
      <w:r>
        <w:rPr>
          <w:lang w:val="en-US"/>
        </w:rPr>
        <w:t>8.</w:t>
      </w:r>
      <w:r>
        <w:t>1. Điều kiện hỗ trợ</w:t>
      </w:r>
    </w:p>
    <w:p>
      <w:pPr>
        <w:spacing w:after="280" w:afterAutospacing="1"/>
      </w:pPr>
      <w:r>
        <w:lastRenderedPageBreak/>
        <w:t>a) Tổ chức, cá nhân sản xuất, kinh doanh có trụ sở trên địa bàn tỉnh Thanh Hóa và thực hiện nghĩa vụ nộp thuế vào ngân sách Nhà nước tại địa bàn tỉnh Thanh Hóa;</w:t>
      </w:r>
    </w:p>
    <w:p>
      <w:pPr>
        <w:spacing w:after="280" w:afterAutospacing="1"/>
      </w:pPr>
      <w:r>
        <w:t>b) Có nhu cầu và kế hoạch khả thi về: Xây dựng hoặc áp dụng tiêu chuẩn công bố phù hợp tiêu chuẩn; chứng nhận hợp chuẩn/hợp quy; xây dựng phòng thử nghiệm tại chỗ hoặc triển khai chương trình bảo đảm đo lường đối với sản phẩm, thiết bị đo lường thuộc trách nhiệm quản lý của cơ sở hoặc thực hiện hoạt động nghiên cứu và phát triển sản phẩm mới;</w:t>
      </w:r>
    </w:p>
    <w:p>
      <w:pPr>
        <w:spacing w:after="280" w:afterAutospacing="1"/>
      </w:pPr>
      <w:r>
        <w:t>c) Chưa được hưởng hỗ trợ cho cùng nội dung, cùng sản phẩm từ các chương trình, đề án, chính sách khác của Nhà nước trong cùng kỳ;</w:t>
      </w:r>
    </w:p>
    <w:p>
      <w:pPr>
        <w:spacing w:after="280" w:afterAutospacing="1"/>
      </w:pPr>
      <w:r>
        <w:t>d) Cam kết duy trì áp dụng tiêu chuẩn, vận hành phòng thử nghiệm, chương trình bảo đảm đo lường hoặc tiếp tục hoàn thiện sản phẩm nghiên cứu và phát triển sau khi được hỗ trợ.</w:t>
      </w:r>
    </w:p>
    <w:p>
      <w:pPr>
        <w:spacing w:after="280" w:afterAutospacing="1"/>
      </w:pPr>
      <w:r>
        <w:rPr>
          <w:lang w:val="en-US"/>
        </w:rPr>
        <w:t>8.</w:t>
      </w:r>
      <w:r>
        <w:t>2. Nội dung và mức hỗ trợ</w:t>
      </w:r>
    </w:p>
    <w:p>
      <w:pPr>
        <w:spacing w:after="280" w:afterAutospacing="1"/>
      </w:pPr>
      <w:r>
        <w:t>a) Xây dựng, áp dụng tiêu chuẩn cơ sở tiên tiến ≥ tiêu chuẩn quốc gia hoặc tiêu chuẩn quốc tế: hỗ trợ 100% chi phí nhưng tối đa 50.000.000 đồng/tiêu chuẩn cơ sở, tối đa 02 tiêu chuẩn cơ sở/năm;</w:t>
      </w:r>
    </w:p>
    <w:p>
      <w:pPr>
        <w:spacing w:after="280" w:afterAutospacing="1"/>
      </w:pPr>
      <w:r>
        <w:t>b) Công bố sản phẩm, hàng hóa phù hợp tiêu chuẩn:</w:t>
      </w:r>
    </w:p>
    <w:p>
      <w:pPr>
        <w:spacing w:after="280" w:afterAutospacing="1"/>
      </w:pPr>
      <w:r>
        <w:t>- Theo tiêu chuẩn quốc gia: hỗ trợ 20.000.000 đồng/sản phẩm;</w:t>
      </w:r>
    </w:p>
    <w:p>
      <w:pPr>
        <w:spacing w:after="280" w:afterAutospacing="1"/>
      </w:pPr>
      <w:r>
        <w:t>- Theo tiêu chuẩn quốc tế/khu vực/nước xuất khẩu: hỗ trợ 30.000.000 đồng/sản phẩm, tối đa 05 sản phẩm/năm/cơ sở.</w:t>
      </w:r>
    </w:p>
    <w:p>
      <w:pPr>
        <w:spacing w:after="280" w:afterAutospacing="1"/>
      </w:pPr>
      <w:r>
        <w:t>c) Chứng nhận hợp chuẩn/ hợp quy cho sản phẩm, hàng hóa theo yêu cầu của nước nhập khẩu: 70% chi phí nhưng tối đa 100.000.000 đồng/lần/cơ sở;</w:t>
      </w:r>
    </w:p>
    <w:p>
      <w:pPr>
        <w:spacing w:after="280" w:afterAutospacing="1"/>
      </w:pPr>
      <w:r>
        <w:t>d) Xây dựng phòng thử nghiệm tại chỗ cho các cơ sở sản xuất sản phẩm chủ lực, phục vụ kiểm soát chất lượng theo tiêu chuẩn quốc tế: 30% tổng đầu tư thiết bị và tư vấn, tối đa 300.000.000 đồng/cơ sở;</w:t>
      </w:r>
    </w:p>
    <w:p>
      <w:pPr>
        <w:spacing w:after="280" w:afterAutospacing="1"/>
      </w:pPr>
      <w:r>
        <w:t>e) Nghiên cứu và phát triển sản phẩm mới: 50% chi phí để tạo ra 01 sản phẩm, tối đa 500.000.000 đồng/sản phẩm.</w:t>
      </w:r>
    </w:p>
    <w:p>
      <w:pPr>
        <w:spacing w:after="280" w:afterAutospacing="1"/>
      </w:pPr>
      <w:r>
        <w:rPr>
          <w:lang w:val="en-US"/>
        </w:rPr>
        <w:t>8.</w:t>
      </w:r>
      <w:r>
        <w:t>3. Hồ sơ gồm:</w:t>
      </w:r>
    </w:p>
    <w:p>
      <w:pPr>
        <w:spacing w:after="280" w:afterAutospacing="1"/>
      </w:pPr>
      <w:r>
        <w:t>a) Đơn đề nghị hỗ trợ (theo Mẫu Phụ lục 01 được ban hành kèm theo Quy định này);</w:t>
      </w:r>
    </w:p>
    <w:p>
      <w:pPr>
        <w:spacing w:after="280" w:afterAutospacing="1"/>
      </w:pPr>
      <w:r>
        <w:t xml:space="preserve">b) Phương án hoặc kế hoạch xây dựng, áp dụng tiêu chuẩn (tối thiểu gồm: tên tiêu chuẩn; phạm vi áp dụng; nội dung chính; thời gian thực hiện; dự toán </w:t>
      </w:r>
      <w:r>
        <w:lastRenderedPageBreak/>
        <w:t>chi phí);</w:t>
      </w:r>
    </w:p>
    <w:p>
      <w:pPr>
        <w:spacing w:after="280" w:afterAutospacing="1"/>
      </w:pPr>
      <w:r>
        <w:t>c) Báo giá hoặc đề xuất kỹ thuật của đơn vị tư vấn/đánh giá chứng nhận/kiểm nghiệm (nếu có);</w:t>
      </w:r>
    </w:p>
    <w:p>
      <w:pPr>
        <w:spacing w:after="280" w:afterAutospacing="1"/>
      </w:pPr>
      <w:r>
        <w:t>d) Tài liệu chứng minh kết quả thực hiện khi thanh toán (tương ứng với các nội dung đề nghị hỗ trợ): Tiêu chuẩn cơ sở đã xây dựng hoặc nâng cấp; Hồ sơ công bố phù hợp tiêu chuẩn; Chứng nhận hợp chuẩn/hợp quy; Hồ sơ, báo cáo nghiệm thu phòng thử nghiệm tại chỗ (nếu có); Báo cáo kết quả nghiên cứu và phát triển sản phẩm mới (nếu có); Hóa đơn, chứng từ chi phí hợp lệ theo quy định;</w:t>
      </w:r>
    </w:p>
    <w:p>
      <w:pPr>
        <w:spacing w:after="280" w:afterAutospacing="1"/>
        <w:rPr>
          <w:lang w:val="en-US"/>
        </w:rPr>
      </w:pPr>
      <w:r>
        <w:t>e) Các tài liệu liên quan khác (nếu có) phục vụ cho thẩm định của Sở Khoa học và Công nghệ.</w:t>
      </w:r>
    </w:p>
    <w:p>
      <w:pPr>
        <w:spacing w:after="280" w:afterAutospacing="1"/>
        <w:rPr>
          <w:lang w:val="en-US"/>
        </w:rPr>
      </w:pPr>
      <w:bookmarkStart w:id="9" w:name="dieu_21"/>
      <w:r>
        <w:rPr>
          <w:b/>
          <w:bCs/>
          <w:lang w:val="en-US"/>
        </w:rPr>
        <w:t>9</w:t>
      </w:r>
      <w:r>
        <w:rPr>
          <w:b/>
          <w:bCs/>
        </w:rPr>
        <w:t>. Hỗ trợ đạt Giải thưởng Chất lượng trong và ngoài nước</w:t>
      </w:r>
      <w:bookmarkEnd w:id="9"/>
      <w:r>
        <w:rPr>
          <w:b/>
          <w:bCs/>
          <w:lang w:val="en-US"/>
        </w:rPr>
        <w:t xml:space="preserve"> về tiêu chuẩn đo lường chất lượng</w:t>
      </w:r>
    </w:p>
    <w:p>
      <w:pPr>
        <w:spacing w:after="280" w:afterAutospacing="1"/>
      </w:pPr>
      <w:r>
        <w:rPr>
          <w:lang w:val="en-US"/>
        </w:rPr>
        <w:t>9.</w:t>
      </w:r>
      <w:r>
        <w:t>1. Điều kiện hỗ trợ</w:t>
      </w:r>
    </w:p>
    <w:p>
      <w:pPr>
        <w:spacing w:after="280" w:afterAutospacing="1"/>
      </w:pPr>
      <w:r>
        <w:t>Tổ chức, cá nhân sản xuất - kinh doanh trên địa bàn tỉnh Thanh Hóa và thực hiện nghĩa vụ nộp thuế vào ngân sách Nhà nước tại địa bàn tỉnh Thanh Hóa đạt các giải thưởng chất lượng cấp quốc gia, khu vực hoặc quốc tế.</w:t>
      </w:r>
    </w:p>
    <w:p>
      <w:pPr>
        <w:spacing w:after="280" w:afterAutospacing="1"/>
      </w:pPr>
      <w:r>
        <w:rPr>
          <w:lang w:val="en-US"/>
        </w:rPr>
        <w:t>9.</w:t>
      </w:r>
      <w:r>
        <w:t>2. Mức hỗ trợ</w:t>
      </w:r>
    </w:p>
    <w:p>
      <w:pPr>
        <w:spacing w:after="280" w:afterAutospacing="1"/>
      </w:pPr>
      <w:r>
        <w:t>a) Giải bạc Chất lượng Quốc gia: 30.000.000 đồng/cơ sở;</w:t>
      </w:r>
    </w:p>
    <w:p>
      <w:pPr>
        <w:spacing w:after="280" w:afterAutospacing="1"/>
      </w:pPr>
      <w:r>
        <w:t>b) Giải vàng Chất lượng Quốc gia: 40.000.000 đồng/cơ sở;</w:t>
      </w:r>
    </w:p>
    <w:p>
      <w:pPr>
        <w:spacing w:after="280" w:afterAutospacing="1"/>
      </w:pPr>
      <w:r>
        <w:t>c) Giải thưởng Chất lượng quốc tế Châu Á - Thái Bình Dương: 50.000.000 đồng/cơ sở.</w:t>
      </w:r>
    </w:p>
    <w:p>
      <w:pPr>
        <w:spacing w:after="280" w:afterAutospacing="1"/>
      </w:pPr>
      <w:r>
        <w:rPr>
          <w:lang w:val="en-US"/>
        </w:rPr>
        <w:t>9.</w:t>
      </w:r>
      <w:r>
        <w:t>3. Hồ sơ gồm:</w:t>
      </w:r>
    </w:p>
    <w:p>
      <w:pPr>
        <w:spacing w:after="280" w:afterAutospacing="1"/>
      </w:pPr>
      <w:r>
        <w:t>a) Đơn đề nghị hỗ trợ (theo Mẫu Phụ lục 01 được ban hành kèm theo Quy định này);</w:t>
      </w:r>
    </w:p>
    <w:p>
      <w:pPr>
        <w:spacing w:after="280" w:afterAutospacing="1"/>
      </w:pPr>
      <w:r>
        <w:t>b) Tài liệu chứng minh kết quả đạt giải thưởng, gồm: Giấy chứng nhận đạt Giải thưởng Chất lượng Quốc gia (Bạc/Vàng) hoặc Giải thưởng Chất lượng quốc tế Châu A - Thái Bình Dương; Bản sao quyết định công nhận đạt giải của cơ quan/tổ chức có thẩm quyền;</w:t>
      </w:r>
    </w:p>
    <w:p>
      <w:pPr>
        <w:spacing w:after="280" w:afterAutospacing="1"/>
        <w:rPr>
          <w:lang w:val="en-US"/>
        </w:rPr>
      </w:pPr>
      <w:r>
        <w:t>c) Các tài liệu liên quan khác theo yêu cầu thẩm định của Sở Khoa học và Công nghệ (nếu cần để làm rõ).</w:t>
      </w:r>
    </w:p>
    <w:p>
      <w:pPr>
        <w:spacing w:after="280" w:afterAutospacing="1"/>
        <w:rPr>
          <w:lang w:val="en-US"/>
        </w:rPr>
      </w:pPr>
      <w:bookmarkStart w:id="10" w:name="dieu_22"/>
      <w:r>
        <w:rPr>
          <w:b/>
          <w:bCs/>
          <w:lang w:val="en-US"/>
        </w:rPr>
        <w:t>10</w:t>
      </w:r>
      <w:r>
        <w:rPr>
          <w:b/>
          <w:bCs/>
        </w:rPr>
        <w:t xml:space="preserve">. Hỗ trợ tổ chức, cá nhân ứng dụng công nghệ tiên tiến trong quản lý </w:t>
      </w:r>
      <w:r>
        <w:rPr>
          <w:b/>
          <w:bCs/>
        </w:rPr>
        <w:lastRenderedPageBreak/>
        <w:t>chất lượng sản phẩm, hàng hóa</w:t>
      </w:r>
      <w:bookmarkEnd w:id="10"/>
      <w:r>
        <w:rPr>
          <w:b/>
          <w:bCs/>
          <w:lang w:val="en-US"/>
        </w:rPr>
        <w:t xml:space="preserve"> tiêu chuẩn đo lường chất lượng</w:t>
      </w:r>
    </w:p>
    <w:p>
      <w:pPr>
        <w:spacing w:after="280" w:afterAutospacing="1"/>
      </w:pPr>
      <w:r>
        <w:rPr>
          <w:lang w:val="en-US"/>
        </w:rPr>
        <w:t>10.</w:t>
      </w:r>
      <w:r>
        <w:t>1. Điều kiện hỗ trợ</w:t>
      </w:r>
    </w:p>
    <w:p>
      <w:pPr>
        <w:spacing w:after="280" w:afterAutospacing="1"/>
      </w:pPr>
      <w:r>
        <w:t>a) Tổ chức, cá nhân sản xuất, kinh doanh có trụ sở trên địa bàn tỉnh Thanh Hóa và thực hiện nghĩa vụ nộp thuế vào ngân sách Nhà nước tại địa bàn tỉnh Thanh Hóa;</w:t>
      </w:r>
    </w:p>
    <w:p>
      <w:pPr>
        <w:spacing w:after="280" w:afterAutospacing="1"/>
      </w:pPr>
      <w:r>
        <w:t>b) Có nhu cầu và kế hoạch khả thi về ứng dụng công nghệ số phục vụ quản lý chất lượng, truy xuất nguồn gốc, minh bạch thông tin hoặc phát triển hồ sơ số cho sản phẩm (mã số mã vạch, mã QR Code, truy xuất nguồn gốc theo chuỗi, hộ chiếu điện tử...);</w:t>
      </w:r>
    </w:p>
    <w:p>
      <w:pPr>
        <w:spacing w:after="280" w:afterAutospacing="1"/>
      </w:pPr>
      <w:r>
        <w:t>c) Chưa được nhận hỗ trợ từ chính sách, chương trình, đề án khác của Nhà nước cho cùng nội dung hoặc cùng sản phẩm trong cùng kỳ ngân sách;</w:t>
      </w:r>
    </w:p>
    <w:p>
      <w:pPr>
        <w:spacing w:after="280" w:afterAutospacing="1"/>
      </w:pPr>
      <w:r>
        <w:t>d) Cam kết duy trì và vận hành giải pháp công nghệ sau khi được hỗ trợ để bảo đảm hiệu quả sử dụng ngân sách Nhà nước.</w:t>
      </w:r>
    </w:p>
    <w:p>
      <w:pPr>
        <w:spacing w:after="280" w:afterAutospacing="1"/>
      </w:pPr>
      <w:r>
        <w:rPr>
          <w:lang w:val="en-US"/>
        </w:rPr>
        <w:t>10.</w:t>
      </w:r>
      <w:r>
        <w:t>2. Nội dung và mức hỗ trợ</w:t>
      </w:r>
    </w:p>
    <w:p>
      <w:pPr>
        <w:spacing w:after="280" w:afterAutospacing="1"/>
      </w:pPr>
      <w:r>
        <w:t>a) Xây dựng mã số, mã vạch, mã QR Code tích hợp thông tin chất lượng, xuất xứ: 20 triệu đồng/cơ sở;</w:t>
      </w:r>
    </w:p>
    <w:p>
      <w:pPr>
        <w:spacing w:after="280" w:afterAutospacing="1"/>
      </w:pPr>
      <w:r>
        <w:t>b) Triển khai giải pháp truy xuất nguồn gốc sản phẩm theo chuỗi: 70% chi phí, tối đa 100.000.000 đồng/lần/cơ sở;</w:t>
      </w:r>
    </w:p>
    <w:p>
      <w:pPr>
        <w:spacing w:after="280" w:afterAutospacing="1"/>
      </w:pPr>
      <w:r>
        <w:t>c) Xây dựng và phát hành hộ chiếu điện tử cho sản phẩm OCOP hoặc sản phẩm chủ lực có tiềm năng xuất khẩu: 100% chi phí, tối đa 50.000.000 đồng/sản phẩm.</w:t>
      </w:r>
    </w:p>
    <w:p>
      <w:pPr>
        <w:spacing w:after="280" w:afterAutospacing="1"/>
      </w:pPr>
      <w:r>
        <w:rPr>
          <w:lang w:val="en-US"/>
        </w:rPr>
        <w:t>10.</w:t>
      </w:r>
      <w:r>
        <w:t>3. Hồ sơ gồm:</w:t>
      </w:r>
    </w:p>
    <w:p>
      <w:pPr>
        <w:spacing w:after="280" w:afterAutospacing="1"/>
      </w:pPr>
      <w:r>
        <w:t>a) Đơn đề nghị hỗ trợ (theo Mẫu Phụ lục 01 được ban hành kèm theo Quy định này);</w:t>
      </w:r>
    </w:p>
    <w:p>
      <w:pPr>
        <w:spacing w:after="280" w:afterAutospacing="1"/>
      </w:pPr>
      <w:r>
        <w:t>b) Phương án hoặc kế hoạch triển khai nội dung liên quan đề nghị hỗ trợ (đào tạo, tập huấn hoặc ứng dụng hệ thống chất lượng, công cụ cải tiến năng suất hoặc xây dựng và áp dụng tiêu chuẩn cho sản phẩm, hàng hóa dịch vụ hoặc ứng dụng công nghệ trong quản lý chất lượng hàng hóa);</w:t>
      </w:r>
    </w:p>
    <w:p>
      <w:pPr>
        <w:spacing w:after="280" w:afterAutospacing="1"/>
        <w:rPr>
          <w:rFonts w:cs="Times New Roman"/>
          <w:lang w:val="en-US"/>
        </w:rPr>
      </w:pPr>
      <w:r>
        <w:t xml:space="preserve">c) Các kết quả triển khai như chứng chỉ, chứng nhận, hợp đồng, biên bản nghiệm thu hóa đơn liên quan trong quá trình triển khai, riêng đối với giải thưởng chất lượng chỉ cần giấy chứng nhận danh hiệu hoặc bằng khen kèm theo bản sao quyết định đạt giải thưởng của cấp có thẩm quyền (có kèm theo bản chính để đối chiếu hoặc bản sao có chứng thực trong trường hợp không nộp bản </w:t>
      </w:r>
      <w:r>
        <w:lastRenderedPageBreak/>
        <w:t>sao kèm xuất trình bản chính để đối chiếu).</w:t>
      </w:r>
      <w:bookmarkEnd w:id="1"/>
    </w:p>
    <w:p>
      <w:pPr>
        <w:pStyle w:val="Heading1"/>
        <w:spacing w:after="120"/>
        <w:rPr>
          <w:rFonts w:cs="Times New Roman"/>
        </w:rPr>
      </w:pPr>
      <w:r>
        <w:rPr>
          <w:rFonts w:cs="Times New Roman"/>
        </w:rPr>
        <w:t xml:space="preserve">Điều </w:t>
      </w:r>
      <w:r>
        <w:rPr>
          <w:rFonts w:cs="Times New Roman"/>
          <w:lang w:val="en-US"/>
        </w:rPr>
        <w:t>3</w:t>
      </w:r>
      <w:r>
        <w:rPr>
          <w:rFonts w:cs="Times New Roman"/>
        </w:rPr>
        <w:t xml:space="preserve">. Nguồn kinh phí </w:t>
      </w:r>
    </w:p>
    <w:p>
      <w:pPr>
        <w:spacing w:after="120"/>
        <w:rPr>
          <w:color w:val="auto"/>
          <w:lang w:val="en-US" w:eastAsia="en-US"/>
        </w:rPr>
      </w:pPr>
      <w:r>
        <w:rPr>
          <w:color w:val="auto"/>
        </w:rPr>
        <w:t>Từ nguồn ngân sách tỉnh chi sự nghiệp khoa học, công nghệ và đổi mới sáng tạo hằng năm</w:t>
      </w:r>
      <w:r>
        <w:rPr>
          <w:color w:val="auto"/>
          <w:lang w:val="en-US"/>
        </w:rPr>
        <w:t>.</w:t>
      </w:r>
    </w:p>
    <w:p>
      <w:pPr>
        <w:pStyle w:val="Heading1"/>
        <w:spacing w:after="120"/>
        <w:rPr>
          <w:rFonts w:cs="Times New Roman"/>
        </w:rPr>
      </w:pPr>
      <w:r>
        <w:rPr>
          <w:rFonts w:cs="Times New Roman"/>
        </w:rPr>
        <w:t xml:space="preserve">Điều </w:t>
      </w:r>
      <w:r>
        <w:rPr>
          <w:rFonts w:cs="Times New Roman"/>
          <w:lang w:val="en-US"/>
        </w:rPr>
        <w:t>4</w:t>
      </w:r>
      <w:r>
        <w:rPr>
          <w:rFonts w:cs="Times New Roman"/>
        </w:rPr>
        <w:t xml:space="preserve">. </w:t>
      </w:r>
      <w:r>
        <w:rPr>
          <w:rFonts w:cs="Times New Roman"/>
          <w:lang w:val="en-US"/>
        </w:rPr>
        <w:t>T</w:t>
      </w:r>
      <w:r>
        <w:rPr>
          <w:rFonts w:cs="Times New Roman"/>
        </w:rPr>
        <w:t>ổ chức thực hiện</w:t>
      </w:r>
    </w:p>
    <w:p>
      <w:pPr>
        <w:pStyle w:val="ListParagraph"/>
        <w:numPr>
          <w:ilvl w:val="0"/>
          <w:numId w:val="1"/>
        </w:numPr>
        <w:tabs>
          <w:tab w:val="left" w:pos="851"/>
        </w:tabs>
        <w:spacing w:after="120"/>
        <w:ind w:left="0" w:firstLine="567"/>
        <w:contextualSpacing w:val="0"/>
        <w:rPr>
          <w:rFonts w:cs="Times New Roman"/>
          <w:bCs/>
          <w:color w:val="auto"/>
          <w:szCs w:val="28"/>
        </w:rPr>
      </w:pPr>
      <w:r>
        <w:rPr>
          <w:rFonts w:cs="Times New Roman"/>
          <w:bCs/>
          <w:color w:val="auto"/>
          <w:szCs w:val="28"/>
        </w:rPr>
        <w:t>Ủy ban nhân dân tỉnh căn cứ Nghị quyết này và các quy định hiện hành</w:t>
      </w:r>
      <w:r>
        <w:rPr>
          <w:rFonts w:cs="Times New Roman"/>
          <w:bCs/>
          <w:color w:val="auto"/>
          <w:szCs w:val="28"/>
          <w:lang w:val="en-US"/>
        </w:rPr>
        <w:t xml:space="preserve"> </w:t>
      </w:r>
      <w:r>
        <w:rPr>
          <w:rFonts w:cs="Times New Roman"/>
          <w:bCs/>
          <w:color w:val="auto"/>
          <w:szCs w:val="28"/>
        </w:rPr>
        <w:t xml:space="preserve">của pháp luật </w:t>
      </w:r>
      <w:r>
        <w:rPr>
          <w:rFonts w:cs="Times New Roman"/>
          <w:bCs/>
          <w:color w:val="auto"/>
          <w:szCs w:val="28"/>
          <w:lang w:val="en-US"/>
        </w:rPr>
        <w:t xml:space="preserve">để </w:t>
      </w:r>
      <w:r>
        <w:rPr>
          <w:rFonts w:cs="Times New Roman"/>
          <w:bCs/>
          <w:color w:val="auto"/>
          <w:szCs w:val="28"/>
        </w:rPr>
        <w:t>tổ chức triển khai thực hiện.</w:t>
      </w:r>
    </w:p>
    <w:p>
      <w:pPr>
        <w:pStyle w:val="ListParagraph"/>
        <w:numPr>
          <w:ilvl w:val="0"/>
          <w:numId w:val="1"/>
        </w:numPr>
        <w:tabs>
          <w:tab w:val="left" w:pos="851"/>
        </w:tabs>
        <w:spacing w:after="120"/>
        <w:ind w:left="0" w:firstLine="567"/>
        <w:contextualSpacing w:val="0"/>
        <w:rPr>
          <w:rFonts w:cs="Times New Roman"/>
          <w:bCs/>
          <w:color w:val="auto"/>
          <w:szCs w:val="28"/>
        </w:rPr>
      </w:pPr>
      <w:r>
        <w:rPr>
          <w:rFonts w:cs="Times New Roman"/>
          <w:bCs/>
          <w:color w:val="auto"/>
          <w:szCs w:val="28"/>
        </w:rPr>
        <w:t>Thường trực Hội đồng nhân dân tỉnh, các Ban của Hội đồng nhân dân</w:t>
      </w:r>
      <w:r>
        <w:rPr>
          <w:rFonts w:cs="Times New Roman"/>
          <w:bCs/>
          <w:color w:val="auto"/>
          <w:szCs w:val="28"/>
          <w:lang w:val="en-US"/>
        </w:rPr>
        <w:t xml:space="preserve"> </w:t>
      </w:r>
      <w:r>
        <w:rPr>
          <w:rFonts w:cs="Times New Roman"/>
          <w:bCs/>
          <w:color w:val="auto"/>
          <w:szCs w:val="28"/>
        </w:rPr>
        <w:t>tỉnh, các Tổ đại biểu Hội đồng nhân dân tỉnh và các đại biểu Hội đồng nhân</w:t>
      </w:r>
      <w:r>
        <w:rPr>
          <w:rFonts w:cs="Times New Roman"/>
          <w:bCs/>
          <w:color w:val="auto"/>
          <w:szCs w:val="28"/>
          <w:lang w:val="en-US"/>
        </w:rPr>
        <w:t xml:space="preserve"> </w:t>
      </w:r>
      <w:r>
        <w:rPr>
          <w:rFonts w:cs="Times New Roman"/>
          <w:bCs/>
          <w:color w:val="auto"/>
          <w:szCs w:val="28"/>
        </w:rPr>
        <w:t>dân tỉnh trong phạm vi nhiệm vụ, quyền hạn của mình giám sát việc thực hiện</w:t>
      </w:r>
      <w:r>
        <w:rPr>
          <w:rFonts w:cs="Times New Roman"/>
          <w:bCs/>
          <w:color w:val="auto"/>
          <w:szCs w:val="28"/>
          <w:lang w:val="en-US"/>
        </w:rPr>
        <w:t xml:space="preserve"> </w:t>
      </w:r>
      <w:r>
        <w:rPr>
          <w:rFonts w:cs="Times New Roman"/>
          <w:bCs/>
          <w:color w:val="auto"/>
          <w:szCs w:val="28"/>
        </w:rPr>
        <w:t>Nghị quyết này.</w:t>
      </w:r>
    </w:p>
    <w:p>
      <w:pPr>
        <w:pStyle w:val="Heading1"/>
        <w:spacing w:after="120"/>
        <w:rPr>
          <w:rFonts w:cs="Times New Roman"/>
        </w:rPr>
      </w:pPr>
      <w:r>
        <w:rPr>
          <w:rFonts w:cs="Times New Roman"/>
        </w:rPr>
        <w:t xml:space="preserve">Điều </w:t>
      </w:r>
      <w:r>
        <w:rPr>
          <w:rFonts w:cs="Times New Roman"/>
          <w:lang w:val="en-US"/>
        </w:rPr>
        <w:t>5</w:t>
      </w:r>
      <w:r>
        <w:rPr>
          <w:rFonts w:cs="Times New Roman"/>
        </w:rPr>
        <w:t>. Điều khoản thi hành</w:t>
      </w:r>
    </w:p>
    <w:p>
      <w:pPr>
        <w:spacing w:after="120"/>
        <w:rPr>
          <w:rFonts w:cs="Times New Roman"/>
          <w:bCs/>
          <w:color w:val="auto"/>
          <w:szCs w:val="28"/>
          <w:lang w:val="en-US"/>
        </w:rPr>
      </w:pPr>
      <w:r>
        <w:rPr>
          <w:rFonts w:cs="Times New Roman"/>
          <w:bCs/>
          <w:color w:val="auto"/>
          <w:szCs w:val="28"/>
        </w:rPr>
        <w:t xml:space="preserve">1. Nghị quyết này có hiệu lực từ ngày </w:t>
      </w:r>
      <w:r>
        <w:rPr>
          <w:rFonts w:cs="Times New Roman"/>
          <w:bCs/>
          <w:color w:val="auto"/>
          <w:szCs w:val="28"/>
          <w:lang w:val="en-US"/>
        </w:rPr>
        <w:t>…..</w:t>
      </w:r>
      <w:r>
        <w:rPr>
          <w:rFonts w:cs="Times New Roman"/>
          <w:bCs/>
          <w:color w:val="auto"/>
          <w:szCs w:val="28"/>
        </w:rPr>
        <w:t xml:space="preserve"> tháng </w:t>
      </w:r>
      <w:r>
        <w:rPr>
          <w:rFonts w:cs="Times New Roman"/>
          <w:bCs/>
          <w:color w:val="auto"/>
          <w:szCs w:val="28"/>
          <w:lang w:val="en-US"/>
        </w:rPr>
        <w:t>…..</w:t>
      </w:r>
      <w:r>
        <w:rPr>
          <w:rFonts w:cs="Times New Roman"/>
          <w:bCs/>
          <w:color w:val="auto"/>
          <w:szCs w:val="28"/>
        </w:rPr>
        <w:t xml:space="preserve"> năm 20</w:t>
      </w:r>
      <w:r>
        <w:rPr>
          <w:rFonts w:cs="Times New Roman"/>
          <w:bCs/>
          <w:color w:val="auto"/>
          <w:szCs w:val="28"/>
          <w:lang w:val="en-US"/>
        </w:rPr>
        <w:t>26 đến hết ngày … tháng … năm 2030.</w:t>
      </w:r>
    </w:p>
    <w:p>
      <w:pPr>
        <w:spacing w:after="120"/>
        <w:rPr>
          <w:rFonts w:cs="Times New Roman"/>
          <w:bCs/>
          <w:color w:val="auto"/>
          <w:szCs w:val="28"/>
          <w:lang w:val="en-US"/>
        </w:rPr>
      </w:pPr>
      <w:r>
        <w:rPr>
          <w:rFonts w:cs="Times New Roman"/>
          <w:bCs/>
          <w:color w:val="auto"/>
          <w:szCs w:val="28"/>
        </w:rPr>
        <w:t xml:space="preserve">2. </w:t>
      </w:r>
      <w:r>
        <w:rPr>
          <w:rFonts w:cs="Times New Roman"/>
          <w:bCs/>
          <w:color w:val="auto"/>
          <w:szCs w:val="28"/>
          <w:lang w:val="en-US"/>
        </w:rPr>
        <w:t>Việc triển khai thực hiện Nghị quyết này phải bảo đảm không chồng chéo, trùng lặp với các chính sách hỗ trợ hiện hành của Trung ương và của tỉnh, đồng thời sử dụng hiệu quả các nguồn lực.</w:t>
      </w:r>
    </w:p>
    <w:p>
      <w:pPr>
        <w:spacing w:after="120"/>
        <w:rPr>
          <w:rFonts w:cs="Times New Roman"/>
          <w:bCs/>
          <w:color w:val="auto"/>
          <w:szCs w:val="28"/>
          <w:lang w:val="en-US"/>
        </w:rPr>
      </w:pPr>
      <w:r>
        <w:rPr>
          <w:rFonts w:cs="Times New Roman"/>
          <w:bCs/>
          <w:color w:val="auto"/>
          <w:szCs w:val="28"/>
          <w:lang w:val="en-US"/>
        </w:rPr>
        <w:t>3. Khi các văn bản dẫn chiếu để áp dụng tại Nghị quyết này được sửa đổi, bổ sung hoặc thay thế bằng văn bản mới thì áp dụng theo các văn bản sửa đổi, bổ sung hoặc thay thế.</w:t>
      </w:r>
    </w:p>
    <w:p>
      <w:pPr>
        <w:spacing w:after="120"/>
        <w:rPr>
          <w:rFonts w:cs="Times New Roman"/>
          <w:i/>
          <w:color w:val="auto"/>
          <w:szCs w:val="28"/>
          <w:lang w:val="en-US"/>
        </w:rPr>
      </w:pPr>
      <w:r>
        <w:rPr>
          <w:rFonts w:cs="Times New Roman"/>
          <w:i/>
          <w:color w:val="auto"/>
          <w:szCs w:val="28"/>
        </w:rPr>
        <w:t>Nghị quyết này đã được Hội đồng nhân dân</w:t>
      </w:r>
      <w:r>
        <w:rPr>
          <w:rFonts w:cs="Times New Roman"/>
          <w:i/>
          <w:color w:val="auto"/>
          <w:szCs w:val="28"/>
          <w:lang w:val="en-US"/>
        </w:rPr>
        <w:t xml:space="preserve"> tỉnh Thanh Hóa </w:t>
      </w:r>
      <w:r>
        <w:rPr>
          <w:rFonts w:cs="Times New Roman"/>
          <w:i/>
          <w:color w:val="auto"/>
          <w:szCs w:val="28"/>
        </w:rPr>
        <w:t>Khóa…</w:t>
      </w:r>
      <w:r>
        <w:rPr>
          <w:rFonts w:cs="Times New Roman"/>
          <w:i/>
          <w:color w:val="auto"/>
          <w:szCs w:val="28"/>
          <w:lang w:val="en-US"/>
        </w:rPr>
        <w:t>.</w:t>
      </w:r>
      <w:r>
        <w:rPr>
          <w:rFonts w:cs="Times New Roman"/>
          <w:i/>
          <w:color w:val="auto"/>
          <w:szCs w:val="28"/>
        </w:rPr>
        <w:t>..Kỳ họp thứ…</w:t>
      </w:r>
      <w:r>
        <w:rPr>
          <w:rFonts w:cs="Times New Roman"/>
          <w:i/>
          <w:color w:val="auto"/>
          <w:szCs w:val="28"/>
          <w:lang w:val="en-US"/>
        </w:rPr>
        <w:t>..</w:t>
      </w:r>
      <w:r>
        <w:rPr>
          <w:rFonts w:cs="Times New Roman"/>
          <w:i/>
          <w:color w:val="auto"/>
          <w:szCs w:val="28"/>
        </w:rPr>
        <w:t>. thông qua ngày…</w:t>
      </w:r>
      <w:r>
        <w:rPr>
          <w:rFonts w:cs="Times New Roman"/>
          <w:i/>
          <w:color w:val="auto"/>
          <w:szCs w:val="28"/>
          <w:lang w:val="en-US"/>
        </w:rPr>
        <w:t>…</w:t>
      </w:r>
      <w:r>
        <w:rPr>
          <w:rFonts w:cs="Times New Roman"/>
          <w:i/>
          <w:color w:val="auto"/>
          <w:szCs w:val="28"/>
        </w:rPr>
        <w:t>.tháng…</w:t>
      </w:r>
      <w:r>
        <w:rPr>
          <w:rFonts w:cs="Times New Roman"/>
          <w:i/>
          <w:color w:val="auto"/>
          <w:szCs w:val="28"/>
          <w:lang w:val="en-US"/>
        </w:rPr>
        <w:t>…</w:t>
      </w:r>
      <w:r>
        <w:rPr>
          <w:rFonts w:cs="Times New Roman"/>
          <w:i/>
          <w:color w:val="auto"/>
          <w:szCs w:val="28"/>
        </w:rPr>
        <w:t>.năm</w:t>
      </w:r>
      <w:r>
        <w:rPr>
          <w:rFonts w:cs="Times New Roman"/>
          <w:i/>
          <w:color w:val="auto"/>
          <w:szCs w:val="28"/>
          <w:lang w:val="en-US"/>
        </w:rPr>
        <w:t xml:space="preserve"> 2025.</w:t>
      </w:r>
    </w:p>
    <w:tbl>
      <w:tblPr>
        <w:tblW w:w="5000" w:type="pct"/>
        <w:tblLook w:val="01E0" w:firstRow="1" w:lastRow="1" w:firstColumn="1" w:lastColumn="1" w:noHBand="0" w:noVBand="0"/>
      </w:tblPr>
      <w:tblGrid>
        <w:gridCol w:w="4064"/>
        <w:gridCol w:w="5224"/>
      </w:tblGrid>
      <w:tr>
        <w:trPr>
          <w:trHeight w:val="20"/>
        </w:trPr>
        <w:tc>
          <w:tcPr>
            <w:tcW w:w="2188" w:type="pct"/>
          </w:tcPr>
          <w:p>
            <w:pPr>
              <w:spacing w:before="0" w:line="216" w:lineRule="auto"/>
              <w:ind w:firstLine="0"/>
              <w:rPr>
                <w:rFonts w:cs="Times New Roman"/>
                <w:b/>
                <w:i/>
                <w:color w:val="auto"/>
                <w:sz w:val="24"/>
              </w:rPr>
            </w:pPr>
            <w:r>
              <w:rPr>
                <w:rFonts w:cs="Times New Roman"/>
                <w:b/>
                <w:i/>
                <w:color w:val="auto"/>
                <w:sz w:val="24"/>
              </w:rPr>
              <w:t>Nơi nhận:</w:t>
            </w:r>
          </w:p>
          <w:p>
            <w:pPr>
              <w:spacing w:before="0" w:line="216" w:lineRule="auto"/>
              <w:ind w:firstLine="0"/>
              <w:rPr>
                <w:rFonts w:cs="Times New Roman"/>
                <w:color w:val="auto"/>
                <w:sz w:val="22"/>
                <w:szCs w:val="22"/>
              </w:rPr>
            </w:pPr>
            <w:r>
              <w:rPr>
                <w:rFonts w:cs="Times New Roman"/>
                <w:color w:val="auto"/>
                <w:sz w:val="22"/>
                <w:szCs w:val="22"/>
              </w:rPr>
              <w:t xml:space="preserve">- Như Điều </w:t>
            </w:r>
            <w:r>
              <w:rPr>
                <w:rFonts w:cs="Times New Roman"/>
                <w:color w:val="auto"/>
                <w:sz w:val="22"/>
                <w:szCs w:val="22"/>
                <w:lang w:val="en-US"/>
              </w:rPr>
              <w:t>5</w:t>
            </w:r>
            <w:r>
              <w:rPr>
                <w:rFonts w:cs="Times New Roman"/>
                <w:color w:val="auto"/>
                <w:sz w:val="22"/>
                <w:szCs w:val="22"/>
              </w:rPr>
              <w:t>;</w:t>
            </w:r>
          </w:p>
          <w:p>
            <w:pPr>
              <w:spacing w:before="0" w:line="216" w:lineRule="auto"/>
              <w:ind w:firstLine="0"/>
              <w:rPr>
                <w:rFonts w:cs="Times New Roman"/>
                <w:color w:val="auto"/>
                <w:sz w:val="22"/>
                <w:szCs w:val="22"/>
              </w:rPr>
            </w:pPr>
            <w:r>
              <w:rPr>
                <w:rFonts w:cs="Times New Roman"/>
                <w:color w:val="auto"/>
                <w:sz w:val="22"/>
                <w:szCs w:val="22"/>
              </w:rPr>
              <w:t>- Ủy ban Thường vụ Quốc hội;</w:t>
            </w:r>
          </w:p>
          <w:p>
            <w:pPr>
              <w:spacing w:before="0" w:line="216" w:lineRule="auto"/>
              <w:ind w:firstLine="0"/>
              <w:rPr>
                <w:rFonts w:cs="Times New Roman"/>
                <w:color w:val="auto"/>
                <w:sz w:val="22"/>
                <w:szCs w:val="22"/>
              </w:rPr>
            </w:pPr>
            <w:r>
              <w:rPr>
                <w:rFonts w:cs="Times New Roman"/>
                <w:color w:val="auto"/>
                <w:sz w:val="22"/>
                <w:szCs w:val="22"/>
              </w:rPr>
              <w:t>- Chính phủ;</w:t>
            </w:r>
          </w:p>
          <w:p>
            <w:pPr>
              <w:spacing w:before="0" w:line="216" w:lineRule="auto"/>
              <w:ind w:firstLine="0"/>
              <w:rPr>
                <w:rFonts w:cs="Times New Roman"/>
                <w:color w:val="auto"/>
                <w:sz w:val="22"/>
                <w:szCs w:val="22"/>
              </w:rPr>
            </w:pPr>
            <w:r>
              <w:rPr>
                <w:rFonts w:cs="Times New Roman"/>
                <w:color w:val="auto"/>
                <w:sz w:val="22"/>
                <w:szCs w:val="22"/>
              </w:rPr>
              <w:t>- Các VP: Quốc hội, Chính phủ;</w:t>
            </w:r>
          </w:p>
          <w:p>
            <w:pPr>
              <w:spacing w:before="0" w:line="216" w:lineRule="auto"/>
              <w:ind w:firstLine="0"/>
              <w:rPr>
                <w:rFonts w:cs="Times New Roman"/>
                <w:color w:val="auto"/>
                <w:sz w:val="22"/>
                <w:szCs w:val="22"/>
              </w:rPr>
            </w:pPr>
            <w:r>
              <w:rPr>
                <w:rFonts w:cs="Times New Roman"/>
                <w:color w:val="auto"/>
                <w:sz w:val="22"/>
                <w:szCs w:val="22"/>
              </w:rPr>
              <w:t>- Các bộ: Nội vụ, Tài chính;</w:t>
            </w:r>
          </w:p>
          <w:p>
            <w:pPr>
              <w:spacing w:before="0" w:line="216" w:lineRule="auto"/>
              <w:ind w:firstLine="0"/>
              <w:rPr>
                <w:rFonts w:cs="Times New Roman"/>
                <w:color w:val="auto"/>
                <w:sz w:val="22"/>
                <w:szCs w:val="22"/>
              </w:rPr>
            </w:pPr>
            <w:r>
              <w:rPr>
                <w:rFonts w:cs="Times New Roman"/>
                <w:color w:val="auto"/>
                <w:sz w:val="22"/>
                <w:szCs w:val="22"/>
              </w:rPr>
              <w:t>- Cục Kiểm tra văn bản và Quản lý xử lý vi phạm</w:t>
            </w:r>
            <w:r>
              <w:rPr>
                <w:rFonts w:cs="Times New Roman"/>
                <w:color w:val="auto"/>
                <w:sz w:val="22"/>
                <w:szCs w:val="22"/>
                <w:lang w:val="en-US"/>
              </w:rPr>
              <w:t xml:space="preserve"> </w:t>
            </w:r>
            <w:r>
              <w:rPr>
                <w:rFonts w:cs="Times New Roman"/>
                <w:color w:val="auto"/>
                <w:sz w:val="22"/>
                <w:szCs w:val="22"/>
              </w:rPr>
              <w:t>hành chính - Bộ Tư pháp;</w:t>
            </w:r>
          </w:p>
          <w:p>
            <w:pPr>
              <w:spacing w:before="0" w:line="216" w:lineRule="auto"/>
              <w:ind w:firstLine="0"/>
              <w:rPr>
                <w:rFonts w:cs="Times New Roman"/>
                <w:color w:val="auto"/>
                <w:sz w:val="22"/>
                <w:szCs w:val="22"/>
              </w:rPr>
            </w:pPr>
            <w:r>
              <w:rPr>
                <w:rFonts w:cs="Times New Roman"/>
                <w:color w:val="auto"/>
                <w:sz w:val="22"/>
                <w:szCs w:val="22"/>
                <w:lang w:val="en-US"/>
              </w:rPr>
              <w:t xml:space="preserve">- </w:t>
            </w:r>
            <w:r>
              <w:rPr>
                <w:rFonts w:cs="Times New Roman"/>
                <w:color w:val="auto"/>
                <w:sz w:val="22"/>
                <w:szCs w:val="22"/>
              </w:rPr>
              <w:t>Thường trực Tỉnh uỷ;</w:t>
            </w:r>
          </w:p>
          <w:p>
            <w:pPr>
              <w:spacing w:before="0" w:line="216" w:lineRule="auto"/>
              <w:ind w:firstLine="0"/>
              <w:rPr>
                <w:rFonts w:cs="Times New Roman"/>
                <w:color w:val="auto"/>
                <w:sz w:val="22"/>
                <w:szCs w:val="22"/>
              </w:rPr>
            </w:pPr>
            <w:r>
              <w:rPr>
                <w:rFonts w:cs="Times New Roman"/>
                <w:color w:val="auto"/>
                <w:sz w:val="22"/>
                <w:szCs w:val="22"/>
              </w:rPr>
              <w:t>- Đoàn đại biểu Quốc hội tỉnh;</w:t>
            </w:r>
          </w:p>
          <w:p>
            <w:pPr>
              <w:spacing w:before="0" w:line="216" w:lineRule="auto"/>
              <w:ind w:firstLine="0"/>
              <w:rPr>
                <w:rFonts w:cs="Times New Roman"/>
                <w:color w:val="auto"/>
                <w:sz w:val="22"/>
                <w:szCs w:val="22"/>
              </w:rPr>
            </w:pPr>
            <w:r>
              <w:rPr>
                <w:rFonts w:cs="Times New Roman"/>
                <w:color w:val="auto"/>
                <w:sz w:val="22"/>
                <w:szCs w:val="22"/>
              </w:rPr>
              <w:t>- Ủy ban MTTQ tỉnh;</w:t>
            </w:r>
          </w:p>
          <w:p>
            <w:pPr>
              <w:spacing w:before="0" w:line="216" w:lineRule="auto"/>
              <w:ind w:firstLine="0"/>
              <w:rPr>
                <w:rFonts w:cs="Times New Roman"/>
                <w:color w:val="auto"/>
                <w:sz w:val="22"/>
                <w:szCs w:val="22"/>
              </w:rPr>
            </w:pPr>
            <w:r>
              <w:rPr>
                <w:rFonts w:cs="Times New Roman"/>
                <w:color w:val="auto"/>
                <w:sz w:val="22"/>
                <w:szCs w:val="22"/>
              </w:rPr>
              <w:t>- Các VP: Tỉnh ủy, Đoàn ĐBQH và HĐND tỉnh,</w:t>
            </w:r>
            <w:r>
              <w:rPr>
                <w:rFonts w:cs="Times New Roman"/>
                <w:color w:val="auto"/>
                <w:sz w:val="22"/>
                <w:szCs w:val="22"/>
                <w:lang w:val="en-US"/>
              </w:rPr>
              <w:t xml:space="preserve"> </w:t>
            </w:r>
            <w:r>
              <w:rPr>
                <w:rFonts w:cs="Times New Roman"/>
                <w:color w:val="auto"/>
                <w:sz w:val="22"/>
                <w:szCs w:val="22"/>
              </w:rPr>
              <w:t xml:space="preserve">UBND </w:t>
            </w:r>
            <w:r>
              <w:rPr>
                <w:rFonts w:cs="Times New Roman"/>
                <w:color w:val="auto"/>
                <w:sz w:val="22"/>
                <w:szCs w:val="22"/>
                <w:lang w:val="en-US"/>
              </w:rPr>
              <w:t>tỉnh</w:t>
            </w:r>
            <w:r>
              <w:rPr>
                <w:rFonts w:cs="Times New Roman"/>
                <w:color w:val="auto"/>
                <w:sz w:val="22"/>
                <w:szCs w:val="22"/>
              </w:rPr>
              <w:t>;</w:t>
            </w:r>
          </w:p>
          <w:p>
            <w:pPr>
              <w:spacing w:before="0" w:line="216" w:lineRule="auto"/>
              <w:ind w:firstLine="0"/>
              <w:rPr>
                <w:rFonts w:cs="Times New Roman"/>
                <w:color w:val="auto"/>
                <w:sz w:val="22"/>
                <w:szCs w:val="22"/>
              </w:rPr>
            </w:pPr>
            <w:r>
              <w:rPr>
                <w:rFonts w:cs="Times New Roman"/>
                <w:color w:val="auto"/>
                <w:sz w:val="22"/>
                <w:szCs w:val="22"/>
              </w:rPr>
              <w:t>- Các sở, ban, ngành cấp tỉnh;</w:t>
            </w:r>
          </w:p>
          <w:p>
            <w:pPr>
              <w:spacing w:before="0" w:line="216" w:lineRule="auto"/>
              <w:ind w:firstLine="0"/>
              <w:rPr>
                <w:rFonts w:cs="Times New Roman"/>
                <w:color w:val="auto"/>
                <w:sz w:val="22"/>
                <w:szCs w:val="22"/>
              </w:rPr>
            </w:pPr>
            <w:r>
              <w:rPr>
                <w:rFonts w:cs="Times New Roman"/>
                <w:color w:val="auto"/>
                <w:sz w:val="22"/>
                <w:szCs w:val="22"/>
              </w:rPr>
              <w:t>- TTT HĐND, UBND các xã, phường;</w:t>
            </w:r>
          </w:p>
          <w:p>
            <w:pPr>
              <w:spacing w:before="0" w:line="216" w:lineRule="auto"/>
              <w:ind w:firstLine="0"/>
              <w:rPr>
                <w:rFonts w:cs="Times New Roman"/>
                <w:color w:val="auto"/>
                <w:sz w:val="22"/>
                <w:szCs w:val="22"/>
              </w:rPr>
            </w:pPr>
            <w:r>
              <w:rPr>
                <w:rFonts w:cs="Times New Roman"/>
                <w:color w:val="auto"/>
                <w:sz w:val="22"/>
                <w:szCs w:val="22"/>
              </w:rPr>
              <w:t>- Công báo tỉnh;</w:t>
            </w:r>
          </w:p>
          <w:p>
            <w:pPr>
              <w:spacing w:before="0" w:line="216" w:lineRule="auto"/>
              <w:ind w:firstLine="0"/>
              <w:rPr>
                <w:rFonts w:cs="Times New Roman"/>
                <w:color w:val="auto"/>
                <w:sz w:val="22"/>
                <w:szCs w:val="22"/>
              </w:rPr>
            </w:pPr>
            <w:r>
              <w:rPr>
                <w:rFonts w:cs="Times New Roman"/>
                <w:color w:val="auto"/>
                <w:sz w:val="22"/>
                <w:szCs w:val="22"/>
                <w:lang w:val="en-US"/>
              </w:rPr>
              <w:t xml:space="preserve">- </w:t>
            </w:r>
            <w:r>
              <w:rPr>
                <w:rFonts w:cs="Times New Roman"/>
                <w:color w:val="auto"/>
                <w:sz w:val="22"/>
                <w:szCs w:val="22"/>
              </w:rPr>
              <w:t>Cổng thông tin điện tử của Đoàn ĐBQH</w:t>
            </w:r>
            <w:r>
              <w:rPr>
                <w:rFonts w:cs="Times New Roman"/>
                <w:color w:val="auto"/>
                <w:sz w:val="22"/>
                <w:szCs w:val="22"/>
                <w:lang w:val="en-US"/>
              </w:rPr>
              <w:t xml:space="preserve"> </w:t>
            </w:r>
            <w:r>
              <w:rPr>
                <w:rFonts w:cs="Times New Roman"/>
                <w:color w:val="auto"/>
                <w:sz w:val="22"/>
                <w:szCs w:val="22"/>
              </w:rPr>
              <w:t>và HĐND tỉnh;</w:t>
            </w:r>
          </w:p>
          <w:p>
            <w:pPr>
              <w:spacing w:before="0" w:line="216" w:lineRule="auto"/>
              <w:ind w:firstLine="0"/>
              <w:rPr>
                <w:rFonts w:cs="Times New Roman"/>
                <w:color w:val="auto"/>
                <w:sz w:val="22"/>
                <w:szCs w:val="22"/>
              </w:rPr>
            </w:pPr>
            <w:r>
              <w:rPr>
                <w:rFonts w:cs="Times New Roman"/>
                <w:color w:val="auto"/>
                <w:sz w:val="22"/>
                <w:szCs w:val="22"/>
                <w:lang w:val="en-US"/>
              </w:rPr>
              <w:t xml:space="preserve">- </w:t>
            </w:r>
            <w:r>
              <w:rPr>
                <w:rFonts w:cs="Times New Roman"/>
                <w:color w:val="auto"/>
                <w:sz w:val="22"/>
                <w:szCs w:val="22"/>
              </w:rPr>
              <w:t>Báo và Đài PTTH Thanh Hóa;</w:t>
            </w:r>
          </w:p>
          <w:p>
            <w:pPr>
              <w:spacing w:before="0" w:line="216" w:lineRule="auto"/>
              <w:ind w:firstLine="0"/>
              <w:rPr>
                <w:rFonts w:cs="Times New Roman"/>
                <w:color w:val="auto"/>
                <w:sz w:val="20"/>
                <w:szCs w:val="20"/>
              </w:rPr>
            </w:pPr>
            <w:r>
              <w:rPr>
                <w:rFonts w:cs="Times New Roman"/>
                <w:color w:val="auto"/>
                <w:sz w:val="22"/>
                <w:szCs w:val="22"/>
              </w:rPr>
              <w:t xml:space="preserve">- </w:t>
            </w:r>
            <w:r>
              <w:rPr>
                <w:rFonts w:cs="Times New Roman"/>
                <w:color w:val="auto"/>
                <w:sz w:val="22"/>
                <w:szCs w:val="22"/>
                <w:lang w:val="en-US"/>
              </w:rPr>
              <w:t>Lưu</w:t>
            </w:r>
            <w:r>
              <w:rPr>
                <w:rFonts w:cs="Times New Roman"/>
                <w:color w:val="auto"/>
                <w:sz w:val="22"/>
                <w:szCs w:val="22"/>
              </w:rPr>
              <w:t xml:space="preserve">: VT, </w:t>
            </w:r>
            <w:r>
              <w:rPr>
                <w:rFonts w:cs="Times New Roman"/>
                <w:color w:val="auto"/>
                <w:sz w:val="22"/>
                <w:szCs w:val="22"/>
                <w:lang w:val="en-US"/>
              </w:rPr>
              <w:t>…..</w:t>
            </w:r>
            <w:r>
              <w:rPr>
                <w:rFonts w:cs="Times New Roman"/>
                <w:color w:val="auto"/>
                <w:sz w:val="22"/>
                <w:szCs w:val="22"/>
              </w:rPr>
              <w:t>.</w:t>
            </w:r>
          </w:p>
        </w:tc>
        <w:tc>
          <w:tcPr>
            <w:tcW w:w="2813" w:type="pct"/>
          </w:tcPr>
          <w:p>
            <w:pPr>
              <w:spacing w:before="0"/>
              <w:ind w:firstLine="0"/>
              <w:jc w:val="center"/>
              <w:rPr>
                <w:rFonts w:cs="Times New Roman"/>
                <w:i/>
                <w:color w:val="auto"/>
                <w:szCs w:val="28"/>
              </w:rPr>
            </w:pPr>
            <w:r>
              <w:rPr>
                <w:rFonts w:cs="Times New Roman"/>
                <w:b/>
                <w:color w:val="auto"/>
                <w:szCs w:val="28"/>
              </w:rPr>
              <w:t>CHỦ TỊCH</w:t>
            </w:r>
            <w:r>
              <w:rPr>
                <w:rFonts w:cs="Times New Roman"/>
                <w:i/>
                <w:color w:val="auto"/>
                <w:szCs w:val="28"/>
              </w:rPr>
              <w:br/>
            </w:r>
          </w:p>
          <w:p>
            <w:pPr>
              <w:spacing w:before="0"/>
              <w:ind w:firstLine="0"/>
              <w:jc w:val="center"/>
              <w:rPr>
                <w:rFonts w:cs="Times New Roman"/>
                <w:i/>
                <w:color w:val="auto"/>
                <w:szCs w:val="28"/>
              </w:rPr>
            </w:pPr>
          </w:p>
          <w:p>
            <w:pPr>
              <w:spacing w:before="0"/>
              <w:ind w:firstLine="0"/>
              <w:jc w:val="center"/>
              <w:rPr>
                <w:rFonts w:cs="Times New Roman"/>
                <w:b/>
                <w:color w:val="auto"/>
                <w:szCs w:val="28"/>
                <w:lang w:val="en-US"/>
              </w:rPr>
            </w:pPr>
            <w:r>
              <w:rPr>
                <w:rFonts w:cs="Times New Roman"/>
                <w:i/>
                <w:color w:val="auto"/>
                <w:szCs w:val="28"/>
              </w:rPr>
              <w:br/>
            </w:r>
            <w:r>
              <w:rPr>
                <w:rFonts w:cs="Times New Roman"/>
                <w:i/>
                <w:color w:val="auto"/>
                <w:szCs w:val="28"/>
                <w:lang w:val="en-US"/>
              </w:rPr>
              <w:br/>
            </w:r>
            <w:r>
              <w:rPr>
                <w:rFonts w:cs="Times New Roman"/>
                <w:i/>
                <w:color w:val="auto"/>
                <w:szCs w:val="28"/>
              </w:rPr>
              <w:br/>
            </w:r>
          </w:p>
        </w:tc>
      </w:tr>
    </w:tbl>
    <w:p>
      <w:pPr>
        <w:spacing w:before="0"/>
        <w:ind w:firstLine="0"/>
        <w:rPr>
          <w:rFonts w:cs="Times New Roman"/>
          <w:b/>
          <w:iCs/>
          <w:color w:val="auto"/>
          <w:szCs w:val="28"/>
        </w:rPr>
        <w:sectPr>
          <w:headerReference w:type="default" r:id="rId9"/>
          <w:pgSz w:w="11907" w:h="16840" w:code="9"/>
          <w:pgMar w:top="1134" w:right="1134" w:bottom="1134" w:left="1701" w:header="720" w:footer="720" w:gutter="0"/>
          <w:cols w:space="720"/>
          <w:titlePg/>
          <w:docGrid w:linePitch="381"/>
        </w:sectPr>
      </w:pPr>
    </w:p>
    <w:p>
      <w:pPr>
        <w:spacing w:after="280" w:afterAutospacing="1"/>
        <w:jc w:val="center"/>
      </w:pPr>
      <w:bookmarkStart w:id="11" w:name="chuong_pl"/>
      <w:r>
        <w:rPr>
          <w:b/>
          <w:bCs/>
        </w:rPr>
        <w:lastRenderedPageBreak/>
        <w:t>PHỤ LỤC</w:t>
      </w:r>
      <w:r>
        <w:rPr>
          <w:b/>
          <w:bCs/>
        </w:rPr>
        <w:br/>
      </w:r>
      <w:bookmarkEnd w:id="11"/>
      <w:r>
        <w:rPr>
          <w:i/>
          <w:iCs/>
        </w:rPr>
        <w:t xml:space="preserve">(Ban hành kèm theo Quy định tại Nghị quyết số </w:t>
      </w:r>
      <w:r>
        <w:rPr>
          <w:i/>
          <w:iCs/>
          <w:lang w:val="en-US"/>
        </w:rPr>
        <w:t>….</w:t>
      </w:r>
      <w:r>
        <w:rPr>
          <w:i/>
          <w:iCs/>
        </w:rPr>
        <w:t xml:space="preserve">/2026/NQ-HĐND ngày </w:t>
      </w:r>
      <w:r>
        <w:rPr>
          <w:i/>
          <w:iCs/>
          <w:lang w:val="en-US"/>
        </w:rPr>
        <w:t>….</w:t>
      </w:r>
      <w:r>
        <w:rPr>
          <w:i/>
          <w:iCs/>
        </w:rPr>
        <w:t xml:space="preserve"> tháng </w:t>
      </w:r>
      <w:r>
        <w:rPr>
          <w:i/>
          <w:iCs/>
          <w:lang w:val="en-US"/>
        </w:rPr>
        <w:t>….</w:t>
      </w:r>
      <w:r>
        <w:rPr>
          <w:i/>
          <w:iCs/>
        </w:rPr>
        <w:t xml:space="preserve"> năm 2026 của Hội đồng nhân dân tỉnh)</w:t>
      </w:r>
    </w:p>
    <w:p>
      <w:pPr>
        <w:spacing w:before="0"/>
        <w:jc w:val="center"/>
        <w:rPr>
          <w:i/>
          <w:iCs/>
        </w:rPr>
      </w:pPr>
      <w:bookmarkStart w:id="12" w:name="chuong_pl_1"/>
      <w:r>
        <w:rPr>
          <w:b/>
          <w:bCs/>
          <w:i/>
          <w:iCs/>
        </w:rPr>
        <w:t>Phụ lục 01</w:t>
      </w:r>
      <w:bookmarkEnd w:id="12"/>
    </w:p>
    <w:p>
      <w:pPr>
        <w:spacing w:before="0"/>
        <w:jc w:val="center"/>
      </w:pPr>
      <w:bookmarkStart w:id="13" w:name="chuong_pl_1_name"/>
      <w:r>
        <w:rPr>
          <w:b/>
          <w:bCs/>
        </w:rPr>
        <w:t>MẪU ĐƠN ĐỀ NGHỊ HỖ TRỢ</w:t>
      </w:r>
      <w:bookmarkEnd w:id="13"/>
    </w:p>
    <w:p>
      <w:pPr>
        <w:spacing w:after="280" w:afterAutospacing="1"/>
        <w:jc w:val="center"/>
      </w:pPr>
      <w:r>
        <w:rPr>
          <w:b/>
          <w:bCs/>
        </w:rPr>
        <w:t>CỘNG HÒA XÃ HỘI CHỦ NGHĨA VIỆT NAM</w:t>
      </w:r>
      <w:r>
        <w:rPr>
          <w:b/>
          <w:bCs/>
        </w:rPr>
        <w:br/>
        <w:t xml:space="preserve">Độc lập - Tự do - Hạnh phúc </w:t>
      </w:r>
      <w:r>
        <w:rPr>
          <w:b/>
          <w:bCs/>
        </w:rPr>
        <w:br/>
        <w:t>---------------</w:t>
      </w:r>
    </w:p>
    <w:p>
      <w:pPr>
        <w:spacing w:after="280" w:afterAutospacing="1"/>
        <w:jc w:val="center"/>
      </w:pPr>
      <w:r>
        <w:rPr>
          <w:b/>
          <w:bCs/>
        </w:rPr>
        <w:t>ĐƠN ĐỀ NGHỊ HỖ TRỢ</w:t>
      </w:r>
    </w:p>
    <w:p>
      <w:pPr>
        <w:spacing w:after="280" w:afterAutospacing="1"/>
        <w:rPr>
          <w:lang w:val="en-US"/>
        </w:rPr>
      </w:pPr>
      <w:r>
        <w:rPr>
          <w:b/>
          <w:bCs/>
        </w:rPr>
        <w:t>Kính gửi:</w:t>
      </w:r>
      <w:r>
        <w:t xml:space="preserve"> Sở Khoa học và Công nghệ tỉnh </w:t>
      </w:r>
      <w:r>
        <w:rPr>
          <w:lang w:val="en-US"/>
        </w:rPr>
        <w:t>Thanh Hoá.</w:t>
      </w:r>
    </w:p>
    <w:p>
      <w:pPr>
        <w:spacing w:after="280" w:afterAutospacing="1"/>
        <w:rPr>
          <w:lang w:val="en-US"/>
        </w:rPr>
      </w:pPr>
      <w:r>
        <w:t xml:space="preserve">1. </w:t>
      </w:r>
      <w:r>
        <w:rPr>
          <w:b/>
          <w:bCs/>
        </w:rPr>
        <w:t xml:space="preserve">Tên tổ chức/cá nhân/doanh nghiệp: </w:t>
      </w:r>
      <w:r>
        <w:t>………………………………………</w:t>
      </w:r>
    </w:p>
    <w:p>
      <w:pPr>
        <w:spacing w:after="280" w:afterAutospacing="1"/>
        <w:rPr>
          <w:lang w:val="en-US"/>
        </w:rPr>
      </w:pPr>
      <w:r>
        <w:t xml:space="preserve">2. </w:t>
      </w:r>
      <w:r>
        <w:rPr>
          <w:b/>
          <w:bCs/>
        </w:rPr>
        <w:t>Địa chỉ:</w:t>
      </w:r>
      <w:r>
        <w:t xml:space="preserve"> …………………………………………………………………….</w:t>
      </w:r>
      <w:r>
        <w:rPr>
          <w:lang w:val="en-US"/>
        </w:rPr>
        <w:t>.</w:t>
      </w:r>
    </w:p>
    <w:p>
      <w:pPr>
        <w:spacing w:after="280" w:afterAutospacing="1"/>
        <w:rPr>
          <w:lang w:val="en-US"/>
        </w:rPr>
      </w:pPr>
      <w:r>
        <w:t xml:space="preserve">3. </w:t>
      </w:r>
      <w:r>
        <w:rPr>
          <w:b/>
          <w:bCs/>
        </w:rPr>
        <w:t>Điện thoại/Email:</w:t>
      </w:r>
      <w:r>
        <w:t xml:space="preserve"> …………………………………………………………</w:t>
      </w:r>
      <w:r>
        <w:rPr>
          <w:lang w:val="en-US"/>
        </w:rPr>
        <w:t>.</w:t>
      </w:r>
    </w:p>
    <w:p>
      <w:pPr>
        <w:spacing w:after="280" w:afterAutospacing="1"/>
        <w:rPr>
          <w:lang w:val="en-US"/>
        </w:rPr>
      </w:pPr>
      <w:r>
        <w:t xml:space="preserve">4. </w:t>
      </w:r>
      <w:r>
        <w:rPr>
          <w:b/>
          <w:bCs/>
        </w:rPr>
        <w:t>Tên chính sách đề nghị hỗ trợ:</w:t>
      </w:r>
      <w:r>
        <w:t xml:space="preserve"> ……………………………………………</w:t>
      </w:r>
    </w:p>
    <w:p>
      <w:pPr>
        <w:spacing w:after="280" w:afterAutospacing="1"/>
        <w:rPr>
          <w:lang w:val="en-US"/>
        </w:rPr>
      </w:pPr>
      <w:r>
        <w:t xml:space="preserve">5. </w:t>
      </w:r>
      <w:r>
        <w:rPr>
          <w:b/>
          <w:bCs/>
        </w:rPr>
        <w:t xml:space="preserve">Tóm tắt nội dung, mục tiêu, quy mô thực hiện: </w:t>
      </w:r>
      <w:r>
        <w:t>…………………</w:t>
      </w:r>
      <w:r>
        <w:rPr>
          <w:lang w:val="en-US"/>
        </w:rPr>
        <w:t>……….</w:t>
      </w:r>
    </w:p>
    <w:p>
      <w:pPr>
        <w:spacing w:after="280" w:afterAutospacing="1"/>
      </w:pPr>
      <w:r>
        <w:t xml:space="preserve">6. </w:t>
      </w:r>
      <w:r>
        <w:rPr>
          <w:b/>
          <w:bCs/>
        </w:rPr>
        <w:t>Tổng kinh phí thực hiện:</w:t>
      </w:r>
      <w:r>
        <w:t xml:space="preserve"> …………….triệu đồng</w:t>
      </w:r>
    </w:p>
    <w:p>
      <w:pPr>
        <w:spacing w:after="280" w:afterAutospacing="1"/>
      </w:pPr>
      <w:r>
        <w:t>Kinh phí đề nghị hỗ trợ: ………………….triệu đồng</w:t>
      </w:r>
    </w:p>
    <w:p>
      <w:pPr>
        <w:spacing w:after="280" w:afterAutospacing="1"/>
      </w:pPr>
      <w:r>
        <w:t xml:space="preserve">7. </w:t>
      </w:r>
      <w:r>
        <w:rPr>
          <w:b/>
          <w:bCs/>
        </w:rPr>
        <w:t>Cam kết:</w:t>
      </w:r>
    </w:p>
    <w:p>
      <w:pPr>
        <w:spacing w:after="280" w:afterAutospacing="1"/>
      </w:pPr>
      <w:r>
        <w:t>- Thực hiện đúng nội dung, mục tiêu đã đăng ký.</w:t>
      </w:r>
    </w:p>
    <w:p>
      <w:pPr>
        <w:spacing w:after="280" w:afterAutospacing="1"/>
      </w:pPr>
      <w:r>
        <w:t>- Sử dụng và thanh quyết toán kinh phí đúng quy định,</w:t>
      </w:r>
    </w:p>
    <w:p>
      <w:pPr>
        <w:spacing w:after="280" w:afterAutospacing="1"/>
      </w:pPr>
      <w:r>
        <w:t>- Chưa nhận hỗ trợ từ nguồn ngân sách Nhà nước về nội dung đề xuất hỗ trợ.</w:t>
      </w:r>
    </w:p>
    <w:p>
      <w:pPr>
        <w:spacing w:after="280" w:afterAutospacing="1"/>
      </w:pPr>
      <w: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788"/>
        <w:gridCol w:w="4788"/>
      </w:tblGrid>
      <w:tr>
        <w:tc>
          <w:tcPr>
            <w:tcW w:w="2500" w:type="pct"/>
            <w:tcBorders>
              <w:top w:val="nil"/>
              <w:left w:val="nil"/>
              <w:bottom w:val="nil"/>
              <w:right w:val="nil"/>
              <w:tl2br w:val="nil"/>
              <w:tr2bl w:val="nil"/>
            </w:tcBorders>
            <w:tcMar>
              <w:top w:w="0" w:type="dxa"/>
              <w:left w:w="108" w:type="dxa"/>
              <w:bottom w:w="0" w:type="dxa"/>
              <w:right w:w="108" w:type="dxa"/>
            </w:tcMar>
          </w:tcPr>
          <w:p>
            <w:r>
              <w:t> </w:t>
            </w:r>
          </w:p>
        </w:tc>
        <w:tc>
          <w:tcPr>
            <w:tcW w:w="2500" w:type="pct"/>
            <w:tcBorders>
              <w:top w:val="nil"/>
              <w:left w:val="nil"/>
              <w:bottom w:val="nil"/>
              <w:right w:val="nil"/>
              <w:tl2br w:val="nil"/>
              <w:tr2bl w:val="nil"/>
            </w:tcBorders>
            <w:tcMar>
              <w:top w:w="0" w:type="dxa"/>
              <w:left w:w="108" w:type="dxa"/>
              <w:bottom w:w="0" w:type="dxa"/>
              <w:right w:w="108" w:type="dxa"/>
            </w:tcMar>
          </w:tcPr>
          <w:p>
            <w:pPr>
              <w:jc w:val="center"/>
            </w:pPr>
            <w:r>
              <w:rPr>
                <w:b/>
                <w:bCs/>
              </w:rPr>
              <w:t>Đại diện tổ chức/cá nhân/doanh nghiệp</w:t>
            </w:r>
            <w:r>
              <w:rPr>
                <w:b/>
                <w:bCs/>
              </w:rPr>
              <w:br/>
            </w:r>
            <w:r>
              <w:rPr>
                <w:i/>
                <w:iCs/>
              </w:rPr>
              <w:lastRenderedPageBreak/>
              <w:t>(Ký, ghi rõ họ tên, đóng dấu nêu có)</w:t>
            </w:r>
          </w:p>
        </w:tc>
      </w:tr>
    </w:tbl>
    <w:p>
      <w:pPr>
        <w:spacing w:before="0"/>
        <w:jc w:val="center"/>
      </w:pPr>
      <w:bookmarkStart w:id="14" w:name="chuong_pl_2"/>
      <w:r>
        <w:rPr>
          <w:b/>
          <w:bCs/>
        </w:rPr>
        <w:lastRenderedPageBreak/>
        <w:t>Phụ lục 02</w:t>
      </w:r>
      <w:bookmarkEnd w:id="14"/>
    </w:p>
    <w:p>
      <w:pPr>
        <w:spacing w:before="0"/>
        <w:jc w:val="center"/>
      </w:pPr>
      <w:bookmarkStart w:id="15" w:name="chuong_pl_2_name"/>
      <w:r>
        <w:rPr>
          <w:b/>
          <w:bCs/>
        </w:rPr>
        <w:t>MẪU BÁO CÁO THẨM ĐỊNH HỒ SƠ ĐỀ NGHỊ HỔ TRỌ</w:t>
      </w:r>
      <w:bookmarkEnd w:id="15"/>
    </w:p>
    <w:p>
      <w:pPr>
        <w:spacing w:after="280" w:afterAutospacing="1"/>
        <w:jc w:val="center"/>
        <w:rPr>
          <w:b/>
          <w:bCs/>
          <w:lang w:val="en-US"/>
        </w:rPr>
      </w:pPr>
    </w:p>
    <w:p>
      <w:pPr>
        <w:spacing w:after="280" w:afterAutospacing="1"/>
        <w:jc w:val="center"/>
      </w:pPr>
      <w:r>
        <w:rPr>
          <w:b/>
          <w:bCs/>
        </w:rPr>
        <w:t>CỘNG HÒA XÃ HỘI CHỦ NGHĨA VIỆT NAM</w:t>
      </w:r>
      <w:r>
        <w:rPr>
          <w:b/>
          <w:bCs/>
        </w:rPr>
        <w:br/>
        <w:t xml:space="preserve">Độc lập - Tự do - Hạnh phúc </w:t>
      </w:r>
      <w:r>
        <w:rPr>
          <w:b/>
          <w:bCs/>
        </w:rPr>
        <w:br/>
        <w:t>---------------</w:t>
      </w:r>
    </w:p>
    <w:p>
      <w:pPr>
        <w:spacing w:before="0"/>
        <w:jc w:val="center"/>
      </w:pPr>
      <w:r>
        <w:rPr>
          <w:b/>
          <w:bCs/>
        </w:rPr>
        <w:t>BÁO CÁO</w:t>
      </w:r>
    </w:p>
    <w:p>
      <w:pPr>
        <w:spacing w:before="0"/>
        <w:jc w:val="center"/>
      </w:pPr>
      <w:r>
        <w:rPr>
          <w:b/>
          <w:bCs/>
        </w:rPr>
        <w:t>THẨM ĐỊNH HỒ SƠ ĐỀ NGHỊ HỖ TRỢ</w:t>
      </w:r>
    </w:p>
    <w:p>
      <w:pPr>
        <w:spacing w:after="280" w:afterAutospacing="1"/>
      </w:pPr>
      <w:r>
        <w:t xml:space="preserve">Hôm nay, ngày .... tháng .... năm ...., tại Sở Khoa học và Công nghệ tỉnh </w:t>
      </w:r>
      <w:r>
        <w:rPr>
          <w:lang w:val="en-US"/>
        </w:rPr>
        <w:t>Thanh Hóa</w:t>
      </w:r>
      <w:r>
        <w:t>, Hội đồng thẩm định xem xét hồ sơ đề nghị hỗ trợ của: ………………….</w:t>
      </w:r>
    </w:p>
    <w:p>
      <w:pPr>
        <w:spacing w:after="280" w:afterAutospacing="1"/>
      </w:pPr>
      <w:r>
        <w:rPr>
          <w:b/>
          <w:bCs/>
        </w:rPr>
        <w:t>1. Thành phần Hội đồng:</w:t>
      </w:r>
    </w:p>
    <w:p>
      <w:pPr>
        <w:spacing w:after="280" w:afterAutospacing="1"/>
      </w:pPr>
      <w:r>
        <w:t>• Chủ tịch Hội đồng: …………………………………………………….</w:t>
      </w:r>
    </w:p>
    <w:p>
      <w:pPr>
        <w:spacing w:after="280" w:afterAutospacing="1"/>
      </w:pPr>
      <w:r>
        <w:t>• Thư ký: …………………………………………………….</w:t>
      </w:r>
    </w:p>
    <w:p>
      <w:pPr>
        <w:spacing w:after="280" w:afterAutospacing="1"/>
      </w:pPr>
      <w:r>
        <w:t>• Các ủy viên: …………………………………………………….</w:t>
      </w:r>
    </w:p>
    <w:p>
      <w:pPr>
        <w:spacing w:after="280" w:afterAutospacing="1"/>
      </w:pPr>
      <w:r>
        <w:rPr>
          <w:b/>
          <w:bCs/>
        </w:rPr>
        <w:t>2. Nội dung thẩm định:</w:t>
      </w:r>
    </w:p>
    <w:p>
      <w:pPr>
        <w:spacing w:after="280" w:afterAutospacing="1"/>
      </w:pPr>
      <w:r>
        <w:t>• Tính hợp lệ, hợp pháp của hồ sơ.</w:t>
      </w:r>
    </w:p>
    <w:p>
      <w:pPr>
        <w:spacing w:after="280" w:afterAutospacing="1"/>
      </w:pPr>
      <w:r>
        <w:t>• Tính khoa học, đổi mới, khả năng ứng dụng, hiệu quả kinh tế - xã hội.</w:t>
      </w:r>
    </w:p>
    <w:p>
      <w:pPr>
        <w:spacing w:after="280" w:afterAutospacing="1"/>
      </w:pPr>
      <w:r>
        <w:t>• Mức đề xuất hỗ trợ, tính khả thi trong triển khai.</w:t>
      </w:r>
    </w:p>
    <w:p>
      <w:pPr>
        <w:spacing w:after="280" w:afterAutospacing="1"/>
      </w:pPr>
      <w:r>
        <w:rPr>
          <w:b/>
          <w:bCs/>
        </w:rPr>
        <w:t>3. Kết luận:</w:t>
      </w:r>
    </w:p>
    <w:p>
      <w:pPr>
        <w:spacing w:after="280" w:afterAutospacing="1"/>
      </w:pPr>
      <w:r>
        <w:t>• Hội đồng thống nhất đề nghị phê duyệt hỗ trợ:………………. triệu đồng.</w:t>
      </w:r>
    </w:p>
    <w:p>
      <w:pPr>
        <w:spacing w:after="280" w:afterAutospacing="1"/>
      </w:pPr>
      <w:r>
        <w:t>• Tỷ lệ hỗ trợ:…….. % tổng kinh phí thực hiện.</w:t>
      </w:r>
    </w:p>
    <w:p>
      <w:pPr>
        <w:spacing w:after="280" w:afterAutospacing="1"/>
      </w:pPr>
      <w:r>
        <w:t>• Kiến nghị khác (nếu có): ……………………………………………………..</w:t>
      </w:r>
    </w:p>
    <w:p>
      <w:pPr>
        <w:spacing w:after="280" w:afterAutospacing="1"/>
      </w:pPr>
      <w: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788"/>
        <w:gridCol w:w="4788"/>
      </w:tblGrid>
      <w:tr>
        <w:tc>
          <w:tcPr>
            <w:tcW w:w="2500" w:type="pct"/>
            <w:tcBorders>
              <w:top w:val="nil"/>
              <w:left w:val="nil"/>
              <w:bottom w:val="nil"/>
              <w:right w:val="nil"/>
              <w:tl2br w:val="nil"/>
              <w:tr2bl w:val="nil"/>
            </w:tcBorders>
            <w:tcMar>
              <w:top w:w="0" w:type="dxa"/>
              <w:left w:w="108" w:type="dxa"/>
              <w:bottom w:w="0" w:type="dxa"/>
              <w:right w:w="108" w:type="dxa"/>
            </w:tcMar>
          </w:tcPr>
          <w:p>
            <w:r>
              <w:lastRenderedPageBreak/>
              <w:t> </w:t>
            </w:r>
          </w:p>
        </w:tc>
        <w:tc>
          <w:tcPr>
            <w:tcW w:w="2500" w:type="pct"/>
            <w:tcBorders>
              <w:top w:val="nil"/>
              <w:left w:val="nil"/>
              <w:bottom w:val="nil"/>
              <w:right w:val="nil"/>
              <w:tl2br w:val="nil"/>
              <w:tr2bl w:val="nil"/>
            </w:tcBorders>
            <w:tcMar>
              <w:top w:w="0" w:type="dxa"/>
              <w:left w:w="108" w:type="dxa"/>
              <w:bottom w:w="0" w:type="dxa"/>
              <w:right w:w="108" w:type="dxa"/>
            </w:tcMar>
          </w:tcPr>
          <w:p>
            <w:pPr>
              <w:jc w:val="center"/>
            </w:pPr>
            <w:r>
              <w:rPr>
                <w:b/>
                <w:bCs/>
              </w:rPr>
              <w:t>CHỦ TỊCH HỘI ĐỒNG</w:t>
            </w:r>
            <w:r>
              <w:rPr>
                <w:b/>
                <w:bCs/>
              </w:rPr>
              <w:br/>
            </w:r>
            <w:r>
              <w:rPr>
                <w:i/>
                <w:iCs/>
              </w:rPr>
              <w:t>(Ký, ghi rõ họ tên)</w:t>
            </w:r>
          </w:p>
        </w:tc>
      </w:tr>
    </w:tbl>
    <w:p>
      <w:pPr>
        <w:spacing w:before="0"/>
        <w:jc w:val="center"/>
      </w:pPr>
      <w:bookmarkStart w:id="16" w:name="chuong_pl_3"/>
      <w:r>
        <w:rPr>
          <w:b/>
          <w:bCs/>
        </w:rPr>
        <w:t>Phụ lục 03</w:t>
      </w:r>
      <w:bookmarkEnd w:id="16"/>
    </w:p>
    <w:p>
      <w:pPr>
        <w:spacing w:before="0"/>
        <w:jc w:val="center"/>
      </w:pPr>
      <w:bookmarkStart w:id="17" w:name="chuong_pl_3_name"/>
      <w:r>
        <w:rPr>
          <w:b/>
          <w:bCs/>
        </w:rPr>
        <w:t>MẪU BIÊN BẢN NGHIỆM THU KẾT QUẢ HỖ TRỢ</w:t>
      </w:r>
      <w:bookmarkEnd w:id="17"/>
    </w:p>
    <w:p>
      <w:pPr>
        <w:spacing w:after="280" w:afterAutospacing="1"/>
        <w:jc w:val="center"/>
      </w:pPr>
      <w:r>
        <w:rPr>
          <w:b/>
          <w:bCs/>
        </w:rPr>
        <w:t>CỘNG HÒA XÃ HỘI CHỦ NGHĨA VIỆT NAM</w:t>
      </w:r>
      <w:r>
        <w:rPr>
          <w:b/>
          <w:bCs/>
        </w:rPr>
        <w:br/>
        <w:t xml:space="preserve">Độc lập - Tự do - Hạnh phúc </w:t>
      </w:r>
      <w:r>
        <w:rPr>
          <w:b/>
          <w:bCs/>
        </w:rPr>
        <w:br/>
        <w:t>---------------</w:t>
      </w:r>
    </w:p>
    <w:p>
      <w:pPr>
        <w:spacing w:after="280" w:afterAutospacing="1"/>
        <w:jc w:val="center"/>
      </w:pPr>
      <w:r>
        <w:rPr>
          <w:b/>
          <w:bCs/>
        </w:rPr>
        <w:t>BIÊN BẢN NGHIỆM THU KẾT QUẢ HỖ TRỢ</w:t>
      </w:r>
    </w:p>
    <w:p>
      <w:pPr>
        <w:spacing w:after="280" w:afterAutospacing="1"/>
      </w:pPr>
      <w:r>
        <w:t>Ngày ... tháng ... năm …</w:t>
      </w:r>
      <w:r>
        <w:rPr>
          <w:lang w:val="en-US"/>
        </w:rPr>
        <w:t xml:space="preserve">. </w:t>
      </w:r>
      <w:r>
        <w:t>Sở Khoa học và Công nghệ tổ chức nghiệm thu kết quả hỗ trợ của: …………………………….</w:t>
      </w:r>
    </w:p>
    <w:p>
      <w:pPr>
        <w:spacing w:after="280" w:afterAutospacing="1"/>
      </w:pPr>
      <w:r>
        <w:rPr>
          <w:b/>
          <w:bCs/>
        </w:rPr>
        <w:t xml:space="preserve">1. Nội dung triển khai: </w:t>
      </w:r>
      <w:r>
        <w:t>…………………………….</w:t>
      </w:r>
    </w:p>
    <w:p>
      <w:pPr>
        <w:spacing w:after="280" w:afterAutospacing="1"/>
      </w:pPr>
      <w:r>
        <w:rPr>
          <w:b/>
          <w:bCs/>
        </w:rPr>
        <w:t xml:space="preserve">2. Kết quả đạt được: </w:t>
      </w:r>
      <w:r>
        <w:t>…………………………….</w:t>
      </w:r>
    </w:p>
    <w:p>
      <w:pPr>
        <w:spacing w:after="280" w:afterAutospacing="1"/>
      </w:pPr>
      <w:r>
        <w:rPr>
          <w:b/>
          <w:bCs/>
        </w:rPr>
        <w:t>3. Đánh giá của Hội đồng nghiệm thu:</w:t>
      </w:r>
    </w:p>
    <w:p>
      <w:pPr>
        <w:spacing w:after="280" w:afterAutospacing="1"/>
      </w:pPr>
      <w:r>
        <w:t>• Kết quả thực hiện: □ Tốt □ Khá □ Đạt □ Không đạt</w:t>
      </w:r>
    </w:p>
    <w:p>
      <w:pPr>
        <w:spacing w:after="280" w:afterAutospacing="1"/>
      </w:pPr>
      <w:r>
        <w:t>• Hiệu quả kinh tế - xã hội: …………………………….</w:t>
      </w:r>
    </w:p>
    <w:p>
      <w:pPr>
        <w:spacing w:after="280" w:afterAutospacing="1"/>
      </w:pPr>
      <w:r>
        <w:t>• Đề nghị thanh quyết toán, tổng hợp báo cáo Ủy ban nhân dân tỉnh.</w:t>
      </w:r>
    </w:p>
    <w:p>
      <w:pPr>
        <w:spacing w:after="280" w:afterAutospacing="1"/>
      </w:pPr>
      <w: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788"/>
        <w:gridCol w:w="4788"/>
      </w:tblGrid>
      <w:tr>
        <w:tc>
          <w:tcPr>
            <w:tcW w:w="2500" w:type="pct"/>
            <w:tcBorders>
              <w:top w:val="nil"/>
              <w:left w:val="nil"/>
              <w:bottom w:val="nil"/>
              <w:right w:val="nil"/>
              <w:tl2br w:val="nil"/>
              <w:tr2bl w:val="nil"/>
            </w:tcBorders>
            <w:tcMar>
              <w:top w:w="0" w:type="dxa"/>
              <w:left w:w="108" w:type="dxa"/>
              <w:bottom w:w="0" w:type="dxa"/>
              <w:right w:w="108" w:type="dxa"/>
            </w:tcMar>
          </w:tcPr>
          <w:p>
            <w:pPr>
              <w:jc w:val="center"/>
            </w:pPr>
            <w:r>
              <w:rPr>
                <w:b/>
                <w:bCs/>
              </w:rPr>
              <w:t>THƯ KÝ</w:t>
            </w:r>
            <w:r>
              <w:rPr>
                <w:b/>
                <w:bCs/>
              </w:rPr>
              <w:br/>
            </w:r>
            <w:r>
              <w:rPr>
                <w:i/>
                <w:iCs/>
              </w:rPr>
              <w:t>(Ký, ghi rõ họ tên)</w:t>
            </w:r>
          </w:p>
        </w:tc>
        <w:tc>
          <w:tcPr>
            <w:tcW w:w="2500" w:type="pct"/>
            <w:tcBorders>
              <w:top w:val="nil"/>
              <w:left w:val="nil"/>
              <w:bottom w:val="nil"/>
              <w:right w:val="nil"/>
              <w:tl2br w:val="nil"/>
              <w:tr2bl w:val="nil"/>
            </w:tcBorders>
            <w:tcMar>
              <w:top w:w="0" w:type="dxa"/>
              <w:left w:w="108" w:type="dxa"/>
              <w:bottom w:w="0" w:type="dxa"/>
              <w:right w:w="108" w:type="dxa"/>
            </w:tcMar>
          </w:tcPr>
          <w:p>
            <w:pPr>
              <w:jc w:val="center"/>
            </w:pPr>
            <w:r>
              <w:rPr>
                <w:b/>
                <w:bCs/>
              </w:rPr>
              <w:t>CHỦ TỊCH HỘI ĐỒNG NGHIỆM THU</w:t>
            </w:r>
            <w:r>
              <w:rPr>
                <w:b/>
                <w:bCs/>
              </w:rPr>
              <w:br/>
            </w:r>
            <w:r>
              <w:rPr>
                <w:i/>
                <w:iCs/>
              </w:rPr>
              <w:t>(Ký, ghi rõ họ tên)</w:t>
            </w:r>
          </w:p>
        </w:tc>
      </w:tr>
    </w:tbl>
    <w:p>
      <w:pPr>
        <w:spacing w:after="280" w:afterAutospacing="1"/>
      </w:pPr>
      <w:r>
        <w:t> </w:t>
      </w:r>
    </w:p>
    <w:p>
      <w:pPr>
        <w:spacing w:after="280" w:afterAutospacing="1"/>
        <w:jc w:val="center"/>
        <w:rPr>
          <w:b/>
          <w:bCs/>
          <w:lang w:val="en-US"/>
        </w:rPr>
      </w:pPr>
      <w:bookmarkStart w:id="18" w:name="chuong_pl_4"/>
    </w:p>
    <w:p>
      <w:pPr>
        <w:spacing w:after="280" w:afterAutospacing="1"/>
        <w:jc w:val="center"/>
        <w:rPr>
          <w:b/>
          <w:bCs/>
          <w:lang w:val="en-US"/>
        </w:rPr>
      </w:pPr>
    </w:p>
    <w:p>
      <w:pPr>
        <w:spacing w:after="280" w:afterAutospacing="1"/>
        <w:jc w:val="center"/>
        <w:rPr>
          <w:b/>
          <w:bCs/>
          <w:lang w:val="en-US"/>
        </w:rPr>
      </w:pPr>
    </w:p>
    <w:p>
      <w:pPr>
        <w:spacing w:after="280" w:afterAutospacing="1"/>
        <w:jc w:val="center"/>
        <w:rPr>
          <w:b/>
          <w:bCs/>
          <w:lang w:val="en-US"/>
        </w:rPr>
      </w:pPr>
    </w:p>
    <w:p>
      <w:pPr>
        <w:spacing w:after="280" w:afterAutospacing="1"/>
        <w:jc w:val="center"/>
        <w:rPr>
          <w:b/>
          <w:bCs/>
          <w:lang w:val="en-US"/>
        </w:rPr>
      </w:pPr>
    </w:p>
    <w:p>
      <w:pPr>
        <w:spacing w:after="280" w:afterAutospacing="1"/>
        <w:jc w:val="center"/>
        <w:rPr>
          <w:b/>
          <w:bCs/>
          <w:lang w:val="en-US"/>
        </w:rPr>
      </w:pPr>
    </w:p>
    <w:p>
      <w:pPr>
        <w:spacing w:before="0"/>
        <w:jc w:val="center"/>
      </w:pPr>
      <w:r>
        <w:rPr>
          <w:b/>
          <w:bCs/>
        </w:rPr>
        <w:t>Phụ lục 04</w:t>
      </w:r>
      <w:bookmarkEnd w:id="18"/>
    </w:p>
    <w:p>
      <w:pPr>
        <w:spacing w:before="0"/>
        <w:jc w:val="center"/>
      </w:pPr>
      <w:bookmarkStart w:id="19" w:name="chuong_pl_4_name"/>
      <w:r>
        <w:rPr>
          <w:b/>
          <w:bCs/>
        </w:rPr>
        <w:t>MẪU BÁO CÁO QUYẾT TOÁN KINH PHÍ HỖ TRỢ</w:t>
      </w:r>
      <w:bookmarkEnd w:id="19"/>
    </w:p>
    <w:p>
      <w:pPr>
        <w:spacing w:after="280" w:afterAutospacing="1"/>
        <w:jc w:val="center"/>
      </w:pPr>
      <w:r>
        <w:rPr>
          <w:b/>
          <w:bCs/>
        </w:rPr>
        <w:t>CỘNG HÒA XÃ HỘI CHỦ NGHĨA VIỆT NAM</w:t>
      </w:r>
      <w:r>
        <w:rPr>
          <w:b/>
          <w:bCs/>
        </w:rPr>
        <w:br/>
        <w:t>Độc lập - Tự do - Hạnh phúc</w:t>
      </w:r>
      <w:r>
        <w:rPr>
          <w:b/>
          <w:bCs/>
        </w:rPr>
        <w:br/>
        <w:t>---------------</w:t>
      </w:r>
    </w:p>
    <w:p>
      <w:pPr>
        <w:spacing w:before="0"/>
        <w:jc w:val="center"/>
      </w:pPr>
      <w:r>
        <w:rPr>
          <w:b/>
          <w:bCs/>
        </w:rPr>
        <w:t>BÁO CÁO</w:t>
      </w:r>
    </w:p>
    <w:p>
      <w:pPr>
        <w:spacing w:before="0"/>
        <w:jc w:val="center"/>
        <w:rPr>
          <w:b/>
          <w:bCs/>
          <w:lang w:val="en-US"/>
        </w:rPr>
      </w:pPr>
      <w:r>
        <w:rPr>
          <w:b/>
          <w:bCs/>
        </w:rPr>
        <w:t>QUYẾT TOÁN KINH PHÍ HỖ TRỢ</w:t>
      </w:r>
    </w:p>
    <w:p>
      <w:pPr>
        <w:spacing w:before="0"/>
        <w:jc w:val="center"/>
        <w:rPr>
          <w:lang w:val="en-US"/>
        </w:rPr>
      </w:pPr>
    </w:p>
    <w:p>
      <w:pPr>
        <w:spacing w:after="280" w:afterAutospacing="1"/>
        <w:rPr>
          <w:lang w:val="en-US"/>
        </w:rPr>
      </w:pPr>
      <w:r>
        <w:rPr>
          <w:b/>
          <w:bCs/>
        </w:rPr>
        <w:t>TÊN TỔ CHỨC/CÁ NHÂN/DOANH NGHIỆP: ……………………………</w:t>
      </w:r>
    </w:p>
    <w:p>
      <w:pPr>
        <w:spacing w:after="280" w:afterAutospacing="1"/>
        <w:rPr>
          <w:lang w:val="en-US"/>
        </w:rPr>
      </w:pPr>
      <w:r>
        <w:rPr>
          <w:b/>
          <w:bCs/>
        </w:rPr>
        <w:t>TÊN CHÍNH SÁCH ĐƯỢC HỖ TRỢ: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862"/>
        <w:gridCol w:w="3089"/>
        <w:gridCol w:w="1589"/>
        <w:gridCol w:w="1923"/>
        <w:gridCol w:w="1917"/>
      </w:tblGrid>
      <w:tr>
        <w:tc>
          <w:tcPr>
            <w:tcW w:w="459"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pPr>
              <w:ind w:firstLine="0"/>
              <w:jc w:val="center"/>
              <w:rPr>
                <w:lang w:val="en-US"/>
              </w:rPr>
            </w:pPr>
            <w:r>
              <w:rPr>
                <w:b/>
                <w:bCs/>
              </w:rPr>
              <w:t>ST</w:t>
            </w:r>
            <w:r>
              <w:rPr>
                <w:b/>
                <w:bCs/>
                <w:lang w:val="en-US"/>
              </w:rPr>
              <w:t>T</w:t>
            </w:r>
          </w:p>
        </w:tc>
        <w:tc>
          <w:tcPr>
            <w:tcW w:w="1646"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r>
              <w:rPr>
                <w:b/>
                <w:bCs/>
              </w:rPr>
              <w:t>Nội dung chi</w:t>
            </w:r>
          </w:p>
        </w:tc>
        <w:tc>
          <w:tcPr>
            <w:tcW w:w="847"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pPr>
              <w:ind w:firstLine="0"/>
              <w:jc w:val="center"/>
            </w:pPr>
            <w:r>
              <w:rPr>
                <w:b/>
                <w:bCs/>
              </w:rPr>
              <w:t>Dự toán (triệu đồng)</w:t>
            </w:r>
          </w:p>
        </w:tc>
        <w:tc>
          <w:tcPr>
            <w:tcW w:w="1025"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pPr>
              <w:ind w:firstLine="0"/>
              <w:jc w:val="center"/>
              <w:rPr>
                <w:b/>
                <w:bCs/>
                <w:lang w:val="en-US"/>
              </w:rPr>
            </w:pPr>
            <w:r>
              <w:rPr>
                <w:b/>
                <w:bCs/>
              </w:rPr>
              <w:t xml:space="preserve">Thực chi </w:t>
            </w:r>
          </w:p>
          <w:p>
            <w:pPr>
              <w:ind w:firstLine="0"/>
              <w:jc w:val="center"/>
            </w:pPr>
            <w:r>
              <w:rPr>
                <w:b/>
                <w:bCs/>
              </w:rPr>
              <w:t>(triệu đồng)</w:t>
            </w:r>
          </w:p>
        </w:tc>
        <w:tc>
          <w:tcPr>
            <w:tcW w:w="1022"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r>
              <w:rPr>
                <w:b/>
                <w:bCs/>
              </w:rPr>
              <w:t>Ghi chú</w:t>
            </w:r>
          </w:p>
        </w:tc>
      </w:tr>
      <w:tr>
        <w:tblPrEx>
          <w:tblBorders>
            <w:top w:val="none" w:sz="0" w:space="0" w:color="auto"/>
            <w:bottom w:val="none" w:sz="0" w:space="0" w:color="auto"/>
            <w:insideH w:val="none" w:sz="0" w:space="0" w:color="auto"/>
            <w:insideV w:val="none" w:sz="0" w:space="0" w:color="auto"/>
          </w:tblBorders>
        </w:tblPrEx>
        <w:tc>
          <w:tcPr>
            <w:tcW w:w="45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pPr>
              <w:ind w:firstLine="0"/>
              <w:jc w:val="center"/>
            </w:pPr>
            <w:r>
              <w:t>1</w:t>
            </w:r>
          </w:p>
        </w:tc>
        <w:tc>
          <w:tcPr>
            <w:tcW w:w="164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pPr>
              <w:ind w:firstLine="0"/>
            </w:pPr>
            <w:r>
              <w:t>Vật tư, nguyên liệu</w:t>
            </w:r>
          </w:p>
        </w:tc>
        <w:tc>
          <w:tcPr>
            <w:tcW w:w="84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pPr>
              <w:jc w:val="center"/>
            </w:pPr>
            <w:r>
              <w:t> </w:t>
            </w:r>
          </w:p>
        </w:tc>
        <w:tc>
          <w:tcPr>
            <w:tcW w:w="102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pPr>
              <w:jc w:val="center"/>
            </w:pPr>
            <w:r>
              <w:t> </w:t>
            </w:r>
          </w:p>
        </w:tc>
        <w:tc>
          <w:tcPr>
            <w:tcW w:w="102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pPr>
              <w:jc w:val="center"/>
            </w:pPr>
            <w:r>
              <w:t> </w:t>
            </w:r>
          </w:p>
        </w:tc>
      </w:tr>
      <w:tr>
        <w:tblPrEx>
          <w:tblBorders>
            <w:top w:val="none" w:sz="0" w:space="0" w:color="auto"/>
            <w:bottom w:val="none" w:sz="0" w:space="0" w:color="auto"/>
            <w:insideH w:val="none" w:sz="0" w:space="0" w:color="auto"/>
            <w:insideV w:val="none" w:sz="0" w:space="0" w:color="auto"/>
          </w:tblBorders>
        </w:tblPrEx>
        <w:tc>
          <w:tcPr>
            <w:tcW w:w="45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pPr>
              <w:ind w:firstLine="0"/>
              <w:jc w:val="center"/>
            </w:pPr>
            <w:r>
              <w:t>2</w:t>
            </w:r>
          </w:p>
        </w:tc>
        <w:tc>
          <w:tcPr>
            <w:tcW w:w="164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pPr>
              <w:ind w:firstLine="0"/>
            </w:pPr>
            <w:r>
              <w:t>Thuê chuyên gia, nhân công</w:t>
            </w:r>
          </w:p>
        </w:tc>
        <w:tc>
          <w:tcPr>
            <w:tcW w:w="84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pPr>
              <w:jc w:val="center"/>
            </w:pPr>
            <w:r>
              <w:t> </w:t>
            </w:r>
          </w:p>
        </w:tc>
        <w:tc>
          <w:tcPr>
            <w:tcW w:w="102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pPr>
              <w:jc w:val="center"/>
            </w:pPr>
            <w:r>
              <w:t> </w:t>
            </w:r>
          </w:p>
        </w:tc>
        <w:tc>
          <w:tcPr>
            <w:tcW w:w="102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pPr>
              <w:jc w:val="center"/>
            </w:pPr>
            <w:r>
              <w:t> </w:t>
            </w:r>
          </w:p>
        </w:tc>
      </w:tr>
      <w:tr>
        <w:tblPrEx>
          <w:tblBorders>
            <w:top w:val="none" w:sz="0" w:space="0" w:color="auto"/>
            <w:bottom w:val="none" w:sz="0" w:space="0" w:color="auto"/>
            <w:insideH w:val="none" w:sz="0" w:space="0" w:color="auto"/>
            <w:insideV w:val="none" w:sz="0" w:space="0" w:color="auto"/>
          </w:tblBorders>
        </w:tblPrEx>
        <w:tc>
          <w:tcPr>
            <w:tcW w:w="45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pPr>
              <w:ind w:firstLine="0"/>
              <w:jc w:val="center"/>
            </w:pPr>
            <w:r>
              <w:t>3</w:t>
            </w:r>
          </w:p>
        </w:tc>
        <w:tc>
          <w:tcPr>
            <w:tcW w:w="164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pPr>
              <w:ind w:firstLine="0"/>
            </w:pPr>
            <w:r>
              <w:t>Thử nghiệm, kiểm định, triển khai mô hình</w:t>
            </w:r>
          </w:p>
        </w:tc>
        <w:tc>
          <w:tcPr>
            <w:tcW w:w="84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pPr>
              <w:jc w:val="center"/>
            </w:pPr>
            <w:r>
              <w:t> </w:t>
            </w:r>
          </w:p>
        </w:tc>
        <w:tc>
          <w:tcPr>
            <w:tcW w:w="102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pPr>
              <w:jc w:val="center"/>
            </w:pPr>
            <w:r>
              <w:t> </w:t>
            </w:r>
          </w:p>
        </w:tc>
        <w:tc>
          <w:tcPr>
            <w:tcW w:w="102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pPr>
              <w:jc w:val="center"/>
            </w:pPr>
            <w:r>
              <w:t> </w:t>
            </w:r>
          </w:p>
        </w:tc>
      </w:tr>
      <w:tr>
        <w:tblPrEx>
          <w:tblBorders>
            <w:top w:val="none" w:sz="0" w:space="0" w:color="auto"/>
            <w:bottom w:val="none" w:sz="0" w:space="0" w:color="auto"/>
            <w:insideH w:val="none" w:sz="0" w:space="0" w:color="auto"/>
            <w:insideV w:val="none" w:sz="0" w:space="0" w:color="auto"/>
          </w:tblBorders>
        </w:tblPrEx>
        <w:tc>
          <w:tcPr>
            <w:tcW w:w="45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pPr>
              <w:ind w:firstLine="0"/>
              <w:jc w:val="center"/>
            </w:pPr>
            <w:r>
              <w:t>4</w:t>
            </w:r>
          </w:p>
        </w:tc>
        <w:tc>
          <w:tcPr>
            <w:tcW w:w="164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pPr>
              <w:ind w:firstLine="0"/>
            </w:pPr>
            <w:r>
              <w:t>Tổ chức hội đồng, báo cáo, nghiệm thu</w:t>
            </w:r>
          </w:p>
        </w:tc>
        <w:tc>
          <w:tcPr>
            <w:tcW w:w="84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pPr>
              <w:jc w:val="center"/>
            </w:pPr>
            <w:r>
              <w:t> </w:t>
            </w:r>
          </w:p>
        </w:tc>
        <w:tc>
          <w:tcPr>
            <w:tcW w:w="102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pPr>
              <w:jc w:val="center"/>
            </w:pPr>
            <w:r>
              <w:t> </w:t>
            </w:r>
          </w:p>
        </w:tc>
        <w:tc>
          <w:tcPr>
            <w:tcW w:w="102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pPr>
              <w:jc w:val="center"/>
            </w:pPr>
            <w:r>
              <w:t> </w:t>
            </w:r>
          </w:p>
        </w:tc>
      </w:tr>
      <w:tr>
        <w:tblPrEx>
          <w:tblBorders>
            <w:top w:val="none" w:sz="0" w:space="0" w:color="auto"/>
            <w:bottom w:val="none" w:sz="0" w:space="0" w:color="auto"/>
            <w:insideH w:val="none" w:sz="0" w:space="0" w:color="auto"/>
            <w:insideV w:val="none" w:sz="0" w:space="0" w:color="auto"/>
          </w:tblBorders>
        </w:tblPrEx>
        <w:tc>
          <w:tcPr>
            <w:tcW w:w="45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pPr>
              <w:ind w:firstLine="0"/>
            </w:pPr>
            <w:r>
              <w:rPr>
                <w:b/>
                <w:bCs/>
              </w:rPr>
              <w:t>Tổng cộng</w:t>
            </w:r>
          </w:p>
        </w:tc>
        <w:tc>
          <w:tcPr>
            <w:tcW w:w="164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pPr>
              <w:jc w:val="center"/>
            </w:pPr>
            <w:r>
              <w:rPr>
                <w:b/>
                <w:bCs/>
              </w:rPr>
              <w:t> </w:t>
            </w:r>
          </w:p>
        </w:tc>
        <w:tc>
          <w:tcPr>
            <w:tcW w:w="84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pPr>
              <w:jc w:val="center"/>
            </w:pPr>
            <w:r>
              <w:rPr>
                <w:b/>
                <w:bCs/>
              </w:rPr>
              <w:t> </w:t>
            </w:r>
          </w:p>
        </w:tc>
        <w:tc>
          <w:tcPr>
            <w:tcW w:w="102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pPr>
              <w:jc w:val="center"/>
            </w:pPr>
            <w:r>
              <w:rPr>
                <w:b/>
                <w:bCs/>
              </w:rPr>
              <w:t> </w:t>
            </w:r>
          </w:p>
        </w:tc>
        <w:tc>
          <w:tcPr>
            <w:tcW w:w="102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pPr>
              <w:jc w:val="center"/>
            </w:pPr>
            <w:r>
              <w:rPr>
                <w:b/>
                <w:bCs/>
              </w:rPr>
              <w:t> </w:t>
            </w:r>
          </w:p>
        </w:tc>
      </w:tr>
    </w:tbl>
    <w:p>
      <w:pPr>
        <w:spacing w:after="280" w:afterAutospacing="1"/>
      </w:pPr>
      <w:r>
        <w:rPr>
          <w:b/>
          <w:bCs/>
        </w:rPr>
        <w:t>Đề nghị quyết toán ngân sách hỗ trợ:</w:t>
      </w:r>
      <w:r>
        <w:t xml:space="preserve"> ……….. triệu đồng.</w:t>
      </w:r>
    </w:p>
    <w:p>
      <w:pPr>
        <w:spacing w:after="280" w:afterAutospacing="1"/>
      </w:pPr>
      <w:r>
        <w:rPr>
          <w:b/>
          <w:bCs/>
        </w:rP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788"/>
        <w:gridCol w:w="4788"/>
      </w:tblGrid>
      <w:tr>
        <w:tc>
          <w:tcPr>
            <w:tcW w:w="2500" w:type="pct"/>
            <w:tcBorders>
              <w:top w:val="nil"/>
              <w:left w:val="nil"/>
              <w:bottom w:val="nil"/>
              <w:right w:val="nil"/>
              <w:tl2br w:val="nil"/>
              <w:tr2bl w:val="nil"/>
            </w:tcBorders>
            <w:tcMar>
              <w:top w:w="0" w:type="dxa"/>
              <w:left w:w="108" w:type="dxa"/>
              <w:bottom w:w="0" w:type="dxa"/>
              <w:right w:w="108" w:type="dxa"/>
            </w:tcMar>
          </w:tcPr>
          <w:p>
            <w:r>
              <w:t> </w:t>
            </w:r>
          </w:p>
        </w:tc>
        <w:tc>
          <w:tcPr>
            <w:tcW w:w="2500" w:type="pct"/>
            <w:tcBorders>
              <w:top w:val="nil"/>
              <w:left w:val="nil"/>
              <w:bottom w:val="nil"/>
              <w:right w:val="nil"/>
              <w:tl2br w:val="nil"/>
              <w:tr2bl w:val="nil"/>
            </w:tcBorders>
            <w:tcMar>
              <w:top w:w="0" w:type="dxa"/>
              <w:left w:w="108" w:type="dxa"/>
              <w:bottom w:w="0" w:type="dxa"/>
              <w:right w:w="108" w:type="dxa"/>
            </w:tcMar>
          </w:tcPr>
          <w:p>
            <w:pPr>
              <w:jc w:val="center"/>
            </w:pPr>
            <w:r>
              <w:rPr>
                <w:b/>
                <w:bCs/>
              </w:rPr>
              <w:t>ĐẠI DIỆN ĐƠN VỊ</w:t>
            </w:r>
            <w:r>
              <w:rPr>
                <w:b/>
                <w:bCs/>
              </w:rPr>
              <w:br/>
            </w:r>
            <w:r>
              <w:rPr>
                <w:i/>
                <w:iCs/>
              </w:rPr>
              <w:t>(Ký, ghi rõ họ tên, đóng dấu nếu có)</w:t>
            </w:r>
          </w:p>
        </w:tc>
      </w:tr>
    </w:tbl>
    <w:p>
      <w:pPr>
        <w:spacing w:after="280" w:afterAutospacing="1"/>
      </w:pPr>
      <w:r>
        <w:t> </w:t>
      </w:r>
    </w:p>
    <w:p>
      <w:pPr>
        <w:spacing w:after="280" w:afterAutospacing="1"/>
      </w:pPr>
      <w:r>
        <w:rPr>
          <w:b/>
          <w:bCs/>
        </w:rPr>
        <w:lastRenderedPageBreak/>
        <w:t> </w:t>
      </w:r>
    </w:p>
    <w:p>
      <w:pPr>
        <w:pStyle w:val="Heading1"/>
        <w:spacing w:before="0"/>
        <w:ind w:firstLine="0"/>
        <w:jc w:val="center"/>
        <w:rPr>
          <w:rFonts w:cs="Times New Roman"/>
          <w:b w:val="0"/>
          <w:iCs/>
          <w:szCs w:val="28"/>
        </w:rPr>
      </w:pPr>
    </w:p>
    <w:sectPr>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pPr>
      <w:r>
        <w:separator/>
      </w:r>
    </w:p>
  </w:endnote>
  <w:endnote w:type="continuationSeparator" w:id="0">
    <w:p>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2020803070505020304"/>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pPr>
      <w:r>
        <w:separator/>
      </w:r>
    </w:p>
  </w:footnote>
  <w:footnote w:type="continuationSeparator" w:id="0">
    <w:p>
      <w:pPr>
        <w:spacing w:before="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57714812"/>
      <w:docPartObj>
        <w:docPartGallery w:val="Page Numbers (Top of Page)"/>
        <w:docPartUnique/>
      </w:docPartObj>
    </w:sdtPr>
    <w:sdtEndPr>
      <w:rPr>
        <w:noProof/>
        <w:sz w:val="26"/>
        <w:szCs w:val="26"/>
      </w:rPr>
    </w:sdtEndPr>
    <w:sdtContent>
      <w:p>
        <w:pPr>
          <w:pStyle w:val="Header"/>
          <w:ind w:firstLine="0"/>
          <w:jc w:val="center"/>
          <w:rPr>
            <w:sz w:val="26"/>
            <w:szCs w:val="26"/>
          </w:rPr>
        </w:pPr>
        <w:r>
          <w:rPr>
            <w:sz w:val="26"/>
            <w:szCs w:val="26"/>
          </w:rPr>
          <w:fldChar w:fldCharType="begin"/>
        </w:r>
        <w:r>
          <w:rPr>
            <w:sz w:val="26"/>
            <w:szCs w:val="26"/>
          </w:rPr>
          <w:instrText xml:space="preserve"> PAGE   \* MERGEFORMAT </w:instrText>
        </w:r>
        <w:r>
          <w:rPr>
            <w:sz w:val="26"/>
            <w:szCs w:val="26"/>
          </w:rPr>
          <w:fldChar w:fldCharType="separate"/>
        </w:r>
        <w:r>
          <w:rPr>
            <w:noProof/>
            <w:sz w:val="26"/>
            <w:szCs w:val="26"/>
          </w:rPr>
          <w:t>21</w:t>
        </w:r>
        <w:r>
          <w:rPr>
            <w:noProof/>
            <w:sz w:val="26"/>
            <w:szCs w:val="26"/>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22B69"/>
    <w:multiLevelType w:val="hybridMultilevel"/>
    <w:tmpl w:val="AD368838"/>
    <w:lvl w:ilvl="0" w:tplc="58422FAE">
      <w:start w:val="1"/>
      <w:numFmt w:val="decimal"/>
      <w:pStyle w:val="Heading3"/>
      <w:lvlText w:val="1.%1."/>
      <w:lvlJc w:val="left"/>
      <w:pPr>
        <w:ind w:left="4330" w:hanging="360"/>
      </w:pPr>
      <w:rPr>
        <w:rFonts w:hint="default"/>
        <w:b/>
        <w:bCs w:val="0"/>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
    <w:nsid w:val="04CD56F4"/>
    <w:multiLevelType w:val="multilevel"/>
    <w:tmpl w:val="508225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9C21B85"/>
    <w:multiLevelType w:val="multilevel"/>
    <w:tmpl w:val="E098C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A4938F6"/>
    <w:multiLevelType w:val="multilevel"/>
    <w:tmpl w:val="054EE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9440078"/>
    <w:multiLevelType w:val="multilevel"/>
    <w:tmpl w:val="55E6A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B745CEE"/>
    <w:multiLevelType w:val="multilevel"/>
    <w:tmpl w:val="C5B89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2EE3EE0"/>
    <w:multiLevelType w:val="multilevel"/>
    <w:tmpl w:val="97DA2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90C7D49"/>
    <w:multiLevelType w:val="multilevel"/>
    <w:tmpl w:val="5B042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7A62077"/>
    <w:multiLevelType w:val="multilevel"/>
    <w:tmpl w:val="6D32B9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DF9361D"/>
    <w:multiLevelType w:val="multilevel"/>
    <w:tmpl w:val="5DA4D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F530E8D"/>
    <w:multiLevelType w:val="multilevel"/>
    <w:tmpl w:val="DCD2E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01C2DF5"/>
    <w:multiLevelType w:val="multilevel"/>
    <w:tmpl w:val="AA168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3F723EC"/>
    <w:multiLevelType w:val="hybridMultilevel"/>
    <w:tmpl w:val="86723686"/>
    <w:lvl w:ilvl="0" w:tplc="AF12B5F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3">
    <w:nsid w:val="454D6EBC"/>
    <w:multiLevelType w:val="multilevel"/>
    <w:tmpl w:val="C3A42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ACD722A"/>
    <w:multiLevelType w:val="multilevel"/>
    <w:tmpl w:val="A1688BB0"/>
    <w:lvl w:ilvl="0">
      <w:start w:val="1"/>
      <w:numFmt w:val="decimal"/>
      <w:pStyle w:val="Heading2"/>
      <w:lvlText w:val="%1."/>
      <w:lvlJc w:val="left"/>
      <w:pPr>
        <w:ind w:left="1495" w:hanging="360"/>
      </w:pPr>
      <w:rPr>
        <w:b/>
        <w:bCs w:val="0"/>
      </w:rPr>
    </w:lvl>
    <w:lvl w:ilvl="1">
      <w:start w:val="1"/>
      <w:numFmt w:val="decimal"/>
      <w:isLgl/>
      <w:lvlText w:val="%1.%2."/>
      <w:lvlJc w:val="left"/>
      <w:pPr>
        <w:ind w:left="1855" w:hanging="720"/>
      </w:pPr>
      <w:rPr>
        <w:rFonts w:hint="default"/>
        <w:b/>
        <w:bCs/>
      </w:rPr>
    </w:lvl>
    <w:lvl w:ilvl="2">
      <w:start w:val="1"/>
      <w:numFmt w:val="decimal"/>
      <w:isLgl/>
      <w:lvlText w:val="%1.%2.%3."/>
      <w:lvlJc w:val="left"/>
      <w:pPr>
        <w:ind w:left="1855" w:hanging="720"/>
      </w:pPr>
      <w:rPr>
        <w:rFonts w:hint="default"/>
        <w:b/>
        <w:bCs/>
      </w:rPr>
    </w:lvl>
    <w:lvl w:ilvl="3">
      <w:start w:val="1"/>
      <w:numFmt w:val="decimal"/>
      <w:isLgl/>
      <w:lvlText w:val="%1.%2.%3.%4."/>
      <w:lvlJc w:val="left"/>
      <w:pPr>
        <w:ind w:left="2215" w:hanging="1080"/>
      </w:pPr>
      <w:rPr>
        <w:rFonts w:hint="default"/>
      </w:rPr>
    </w:lvl>
    <w:lvl w:ilvl="4">
      <w:start w:val="1"/>
      <w:numFmt w:val="decimal"/>
      <w:isLgl/>
      <w:lvlText w:val="%1.%2.%3.%4.%5."/>
      <w:lvlJc w:val="left"/>
      <w:pPr>
        <w:ind w:left="2215" w:hanging="1080"/>
      </w:pPr>
      <w:rPr>
        <w:rFonts w:hint="default"/>
      </w:rPr>
    </w:lvl>
    <w:lvl w:ilvl="5">
      <w:start w:val="1"/>
      <w:numFmt w:val="decimal"/>
      <w:isLgl/>
      <w:lvlText w:val="%1.%2.%3.%4.%5.%6."/>
      <w:lvlJc w:val="left"/>
      <w:pPr>
        <w:ind w:left="2575" w:hanging="1440"/>
      </w:pPr>
      <w:rPr>
        <w:rFonts w:hint="default"/>
      </w:rPr>
    </w:lvl>
    <w:lvl w:ilvl="6">
      <w:start w:val="1"/>
      <w:numFmt w:val="decimal"/>
      <w:isLgl/>
      <w:lvlText w:val="%1.%2.%3.%4.%5.%6.%7."/>
      <w:lvlJc w:val="left"/>
      <w:pPr>
        <w:ind w:left="2935" w:hanging="1800"/>
      </w:pPr>
      <w:rPr>
        <w:rFonts w:hint="default"/>
      </w:rPr>
    </w:lvl>
    <w:lvl w:ilvl="7">
      <w:start w:val="1"/>
      <w:numFmt w:val="decimal"/>
      <w:isLgl/>
      <w:lvlText w:val="%1.%2.%3.%4.%5.%6.%7.%8."/>
      <w:lvlJc w:val="left"/>
      <w:pPr>
        <w:ind w:left="2935" w:hanging="1800"/>
      </w:pPr>
      <w:rPr>
        <w:rFonts w:hint="default"/>
      </w:rPr>
    </w:lvl>
    <w:lvl w:ilvl="8">
      <w:start w:val="1"/>
      <w:numFmt w:val="decimal"/>
      <w:isLgl/>
      <w:lvlText w:val="%1.%2.%3.%4.%5.%6.%7.%8.%9."/>
      <w:lvlJc w:val="left"/>
      <w:pPr>
        <w:ind w:left="3295" w:hanging="2160"/>
      </w:pPr>
      <w:rPr>
        <w:rFonts w:hint="default"/>
      </w:rPr>
    </w:lvl>
  </w:abstractNum>
  <w:abstractNum w:abstractNumId="15">
    <w:nsid w:val="4B39141E"/>
    <w:multiLevelType w:val="multilevel"/>
    <w:tmpl w:val="110E8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5091292"/>
    <w:multiLevelType w:val="multilevel"/>
    <w:tmpl w:val="3FBEB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1906D04"/>
    <w:multiLevelType w:val="multilevel"/>
    <w:tmpl w:val="2320C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9EB772B"/>
    <w:multiLevelType w:val="multilevel"/>
    <w:tmpl w:val="03C604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7F7D222B"/>
    <w:multiLevelType w:val="multilevel"/>
    <w:tmpl w:val="0C8C9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14"/>
  </w:num>
  <w:num w:numId="3">
    <w:abstractNumId w:val="0"/>
  </w:num>
  <w:num w:numId="4">
    <w:abstractNumId w:val="14"/>
    <w:lvlOverride w:ilvl="0">
      <w:startOverride w:val="1"/>
    </w:lvlOverride>
  </w:num>
  <w:num w:numId="5">
    <w:abstractNumId w:val="14"/>
    <w:lvlOverride w:ilvl="0">
      <w:startOverride w:val="1"/>
    </w:lvlOverride>
  </w:num>
  <w:num w:numId="6">
    <w:abstractNumId w:val="13"/>
  </w:num>
  <w:num w:numId="7">
    <w:abstractNumId w:val="3"/>
  </w:num>
  <w:num w:numId="8">
    <w:abstractNumId w:val="18"/>
  </w:num>
  <w:num w:numId="9">
    <w:abstractNumId w:val="1"/>
  </w:num>
  <w:num w:numId="10">
    <w:abstractNumId w:val="19"/>
  </w:num>
  <w:num w:numId="11">
    <w:abstractNumId w:val="5"/>
  </w:num>
  <w:num w:numId="12">
    <w:abstractNumId w:val="15"/>
  </w:num>
  <w:num w:numId="13">
    <w:abstractNumId w:val="11"/>
  </w:num>
  <w:num w:numId="14">
    <w:abstractNumId w:val="7"/>
  </w:num>
  <w:num w:numId="15">
    <w:abstractNumId w:val="8"/>
  </w:num>
  <w:num w:numId="16">
    <w:abstractNumId w:val="9"/>
  </w:num>
  <w:num w:numId="17">
    <w:abstractNumId w:val="14"/>
    <w:lvlOverride w:ilvl="0">
      <w:startOverride w:val="1"/>
    </w:lvlOverride>
  </w:num>
  <w:num w:numId="18">
    <w:abstractNumId w:val="14"/>
  </w:num>
  <w:num w:numId="19">
    <w:abstractNumId w:val="14"/>
  </w:num>
  <w:num w:numId="20">
    <w:abstractNumId w:val="14"/>
  </w:num>
  <w:num w:numId="21">
    <w:abstractNumId w:val="14"/>
  </w:num>
  <w:num w:numId="22">
    <w:abstractNumId w:val="0"/>
    <w:lvlOverride w:ilvl="0">
      <w:startOverride w:val="1"/>
    </w:lvlOverride>
  </w:num>
  <w:num w:numId="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0"/>
  </w:num>
  <w:num w:numId="25">
    <w:abstractNumId w:val="0"/>
  </w:num>
  <w:num w:numId="26">
    <w:abstractNumId w:val="0"/>
  </w:num>
  <w:num w:numId="27">
    <w:abstractNumId w:val="14"/>
  </w:num>
  <w:num w:numId="28">
    <w:abstractNumId w:val="0"/>
  </w:num>
  <w:num w:numId="29">
    <w:abstractNumId w:val="17"/>
  </w:num>
  <w:num w:numId="30">
    <w:abstractNumId w:val="14"/>
  </w:num>
  <w:num w:numId="31">
    <w:abstractNumId w:val="16"/>
  </w:num>
  <w:num w:numId="32">
    <w:abstractNumId w:val="6"/>
  </w:num>
  <w:num w:numId="33">
    <w:abstractNumId w:val="2"/>
  </w:num>
  <w:num w:numId="34">
    <w:abstractNumId w:val="10"/>
  </w:num>
  <w:num w:numId="35">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inkAnnotation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spacing w:before="120" w:after="0" w:line="240" w:lineRule="auto"/>
      <w:ind w:firstLine="567"/>
      <w:jc w:val="both"/>
    </w:pPr>
    <w:rPr>
      <w:rFonts w:ascii="Times New Roman" w:eastAsia="Times New Roman" w:hAnsi="Times New Roman" w:cs="Courier New"/>
      <w:color w:val="000000"/>
      <w:sz w:val="28"/>
      <w:szCs w:val="24"/>
      <w:lang w:val="vi-VN" w:eastAsia="vi-VN"/>
    </w:rPr>
  </w:style>
  <w:style w:type="paragraph" w:styleId="Heading1">
    <w:name w:val="heading 1"/>
    <w:basedOn w:val="Normal"/>
    <w:next w:val="Normal"/>
    <w:link w:val="Heading1Char"/>
    <w:uiPriority w:val="9"/>
    <w:qFormat/>
    <w:pPr>
      <w:keepNext/>
      <w:keepLines/>
      <w:outlineLvl w:val="0"/>
    </w:pPr>
    <w:rPr>
      <w:rFonts w:eastAsiaTheme="majorEastAsia" w:cstheme="majorBidi"/>
      <w:b/>
      <w:color w:val="auto"/>
      <w:szCs w:val="32"/>
    </w:rPr>
  </w:style>
  <w:style w:type="paragraph" w:styleId="Heading2">
    <w:name w:val="heading 2"/>
    <w:basedOn w:val="Normal"/>
    <w:next w:val="Normal"/>
    <w:link w:val="Heading2Char"/>
    <w:uiPriority w:val="9"/>
    <w:unhideWhenUsed/>
    <w:qFormat/>
    <w:pPr>
      <w:keepNext/>
      <w:keepLines/>
      <w:numPr>
        <w:numId w:val="2"/>
      </w:numPr>
      <w:outlineLvl w:val="1"/>
    </w:pPr>
    <w:rPr>
      <w:rFonts w:eastAsiaTheme="majorEastAsia" w:cstheme="majorBidi"/>
      <w:b/>
      <w:color w:val="auto"/>
      <w:szCs w:val="26"/>
    </w:rPr>
  </w:style>
  <w:style w:type="paragraph" w:styleId="Heading3">
    <w:name w:val="heading 3"/>
    <w:basedOn w:val="Normal"/>
    <w:next w:val="Normal"/>
    <w:link w:val="Heading3Char"/>
    <w:uiPriority w:val="9"/>
    <w:unhideWhenUsed/>
    <w:qFormat/>
    <w:pPr>
      <w:keepNext/>
      <w:keepLines/>
      <w:numPr>
        <w:numId w:val="3"/>
      </w:numPr>
      <w:outlineLvl w:val="2"/>
    </w:pPr>
    <w:rPr>
      <w:rFonts w:eastAsiaTheme="majorEastAsia" w:cstheme="majorBidi"/>
      <w:b/>
      <w:color w:val="auto"/>
    </w:rPr>
  </w:style>
  <w:style w:type="paragraph" w:styleId="Heading4">
    <w:name w:val="heading 4"/>
    <w:basedOn w:val="Normal"/>
    <w:next w:val="Normal"/>
    <w:link w:val="Heading4Char"/>
    <w:uiPriority w:val="9"/>
    <w:unhideWhenUsed/>
    <w:qFormat/>
    <w:pPr>
      <w:keepNext/>
      <w:keepLines/>
      <w:outlineLvl w:val="3"/>
    </w:pPr>
    <w:rPr>
      <w:rFonts w:eastAsiaTheme="majorEastAsia" w:cstheme="majorBidi"/>
      <w:b/>
      <w:iCs/>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line="240" w:lineRule="auto"/>
    </w:pPr>
    <w:rPr>
      <w:rFonts w:ascii="Courier New" w:eastAsia="Times New Roman" w:hAnsi="Courier New" w:cs="Courier New"/>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Courier New" w:eastAsia="Times New Roman" w:hAnsi="Courier New" w:cs="Courier New"/>
      <w:color w:val="000000"/>
      <w:sz w:val="20"/>
      <w:szCs w:val="20"/>
      <w:lang w:val="vi-VN" w:eastAsia="vi-VN"/>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Courier New" w:eastAsia="Times New Roman" w:hAnsi="Courier New" w:cs="Courier New"/>
      <w:b/>
      <w:bCs/>
      <w:color w:val="000000"/>
      <w:sz w:val="20"/>
      <w:szCs w:val="20"/>
      <w:lang w:val="vi-VN" w:eastAsia="vi-VN"/>
    </w:rPr>
  </w:style>
  <w:style w:type="paragraph" w:styleId="ListParagraph">
    <w:name w:val="List Paragraph"/>
    <w:basedOn w:val="Normal"/>
    <w:uiPriority w:val="34"/>
    <w:qFormat/>
    <w:pPr>
      <w:ind w:left="720"/>
      <w:contextualSpacing/>
    </w:pPr>
  </w:style>
  <w:style w:type="character" w:styleId="Strong">
    <w:name w:val="Strong"/>
    <w:basedOn w:val="DefaultParagraphFont"/>
    <w:uiPriority w:val="22"/>
    <w:qFormat/>
    <w:rPr>
      <w:b/>
      <w:bCs/>
    </w:rPr>
  </w:style>
  <w:style w:type="paragraph" w:styleId="NormalWeb">
    <w:name w:val="Normal (Web)"/>
    <w:basedOn w:val="Normal"/>
    <w:uiPriority w:val="99"/>
    <w:unhideWhenUsed/>
    <w:pPr>
      <w:widowControl/>
      <w:spacing w:before="100" w:beforeAutospacing="1" w:after="100" w:afterAutospacing="1"/>
    </w:pPr>
    <w:rPr>
      <w:rFonts w:cs="Times New Roman"/>
      <w:color w:val="auto"/>
      <w:lang w:val="en-US" w:eastAsia="en-US"/>
    </w:rPr>
  </w:style>
  <w:style w:type="character" w:customStyle="1" w:styleId="Heading1Char">
    <w:name w:val="Heading 1 Char"/>
    <w:basedOn w:val="DefaultParagraphFont"/>
    <w:link w:val="Heading1"/>
    <w:uiPriority w:val="9"/>
    <w:rPr>
      <w:rFonts w:ascii="Times New Roman" w:eastAsiaTheme="majorEastAsia" w:hAnsi="Times New Roman" w:cstheme="majorBidi"/>
      <w:b/>
      <w:sz w:val="28"/>
      <w:szCs w:val="32"/>
      <w:lang w:val="vi-VN" w:eastAsia="vi-VN"/>
    </w:rPr>
  </w:style>
  <w:style w:type="character" w:customStyle="1" w:styleId="Heading2Char">
    <w:name w:val="Heading 2 Char"/>
    <w:basedOn w:val="DefaultParagraphFont"/>
    <w:link w:val="Heading2"/>
    <w:uiPriority w:val="9"/>
    <w:rPr>
      <w:rFonts w:ascii="Times New Roman" w:eastAsiaTheme="majorEastAsia" w:hAnsi="Times New Roman" w:cstheme="majorBidi"/>
      <w:b/>
      <w:sz w:val="28"/>
      <w:szCs w:val="26"/>
      <w:lang w:val="vi-VN" w:eastAsia="vi-VN"/>
    </w:rPr>
  </w:style>
  <w:style w:type="character" w:customStyle="1" w:styleId="Heading3Char">
    <w:name w:val="Heading 3 Char"/>
    <w:basedOn w:val="DefaultParagraphFont"/>
    <w:link w:val="Heading3"/>
    <w:uiPriority w:val="9"/>
    <w:rPr>
      <w:rFonts w:ascii="Times New Roman" w:eastAsiaTheme="majorEastAsia" w:hAnsi="Times New Roman" w:cstheme="majorBidi"/>
      <w:b/>
      <w:sz w:val="28"/>
      <w:szCs w:val="24"/>
      <w:lang w:val="vi-VN" w:eastAsia="vi-VN"/>
    </w:rPr>
  </w:style>
  <w:style w:type="character" w:customStyle="1" w:styleId="Heading4Char">
    <w:name w:val="Heading 4 Char"/>
    <w:basedOn w:val="DefaultParagraphFont"/>
    <w:link w:val="Heading4"/>
    <w:uiPriority w:val="9"/>
    <w:rPr>
      <w:rFonts w:ascii="Times New Roman" w:eastAsiaTheme="majorEastAsia" w:hAnsi="Times New Roman" w:cstheme="majorBidi"/>
      <w:b/>
      <w:iCs/>
      <w:sz w:val="28"/>
      <w:szCs w:val="24"/>
      <w:lang w:val="vi-VN" w:eastAsia="vi-VN"/>
    </w:rPr>
  </w:style>
  <w:style w:type="paragraph" w:styleId="FootnoteText">
    <w:name w:val="footnote text"/>
    <w:basedOn w:val="Normal"/>
    <w:link w:val="FootnoteTextChar"/>
    <w:uiPriority w:val="99"/>
    <w:semiHidden/>
    <w:unhideWhenUsed/>
    <w:pPr>
      <w:widowControl/>
      <w:spacing w:before="0"/>
      <w:ind w:firstLine="0"/>
      <w:jc w:val="left"/>
    </w:pPr>
    <w:rPr>
      <w:rFonts w:asciiTheme="minorHAnsi" w:eastAsiaTheme="minorHAnsi" w:hAnsiTheme="minorHAnsi" w:cstheme="minorBidi"/>
      <w:color w:val="auto"/>
      <w:sz w:val="20"/>
      <w:szCs w:val="20"/>
      <w:lang w:val="en-US" w:eastAsia="en-US"/>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Header">
    <w:name w:val="header"/>
    <w:basedOn w:val="Normal"/>
    <w:link w:val="HeaderChar"/>
    <w:uiPriority w:val="99"/>
    <w:unhideWhenUsed/>
    <w:pPr>
      <w:tabs>
        <w:tab w:val="center" w:pos="4680"/>
        <w:tab w:val="right" w:pos="9360"/>
      </w:tabs>
      <w:spacing w:before="0"/>
    </w:pPr>
  </w:style>
  <w:style w:type="character" w:customStyle="1" w:styleId="HeaderChar">
    <w:name w:val="Header Char"/>
    <w:basedOn w:val="DefaultParagraphFont"/>
    <w:link w:val="Header"/>
    <w:uiPriority w:val="99"/>
    <w:rPr>
      <w:rFonts w:ascii="Times New Roman" w:eastAsia="Times New Roman" w:hAnsi="Times New Roman" w:cs="Courier New"/>
      <w:color w:val="000000"/>
      <w:sz w:val="28"/>
      <w:szCs w:val="24"/>
      <w:lang w:val="vi-VN" w:eastAsia="vi-VN"/>
    </w:rPr>
  </w:style>
  <w:style w:type="paragraph" w:styleId="Footer">
    <w:name w:val="footer"/>
    <w:basedOn w:val="Normal"/>
    <w:link w:val="FooterChar"/>
    <w:uiPriority w:val="99"/>
    <w:unhideWhenUsed/>
    <w:pPr>
      <w:tabs>
        <w:tab w:val="center" w:pos="4680"/>
        <w:tab w:val="right" w:pos="9360"/>
      </w:tabs>
      <w:spacing w:before="0"/>
    </w:pPr>
  </w:style>
  <w:style w:type="character" w:customStyle="1" w:styleId="FooterChar">
    <w:name w:val="Footer Char"/>
    <w:basedOn w:val="DefaultParagraphFont"/>
    <w:link w:val="Footer"/>
    <w:uiPriority w:val="99"/>
    <w:rPr>
      <w:rFonts w:ascii="Times New Roman" w:eastAsia="Times New Roman" w:hAnsi="Times New Roman" w:cs="Courier New"/>
      <w:color w:val="000000"/>
      <w:sz w:val="28"/>
      <w:szCs w:val="24"/>
      <w:lang w:val="vi-VN" w:eastAsia="vi-VN"/>
    </w:rPr>
  </w:style>
  <w:style w:type="paragraph" w:styleId="NoSpacing">
    <w:name w:val="No Spacing"/>
    <w:uiPriority w:val="1"/>
    <w:qFormat/>
    <w:pPr>
      <w:widowControl w:val="0"/>
      <w:spacing w:after="0" w:line="240" w:lineRule="auto"/>
      <w:ind w:firstLine="567"/>
      <w:jc w:val="both"/>
    </w:pPr>
    <w:rPr>
      <w:rFonts w:ascii="Times New Roman" w:eastAsia="Times New Roman" w:hAnsi="Times New Roman" w:cs="Courier New"/>
      <w:color w:val="000000"/>
      <w:sz w:val="28"/>
      <w:szCs w:val="24"/>
      <w:lang w:val="vi-VN" w:eastAsia="vi-VN"/>
    </w:rPr>
  </w:style>
  <w:style w:type="paragraph" w:styleId="BalloonText">
    <w:name w:val="Balloon Text"/>
    <w:basedOn w:val="Normal"/>
    <w:link w:val="BalloonTextChar"/>
    <w:uiPriority w:val="99"/>
    <w:semiHidden/>
    <w:unhideWhenUsed/>
    <w:pPr>
      <w:spacing w:before="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Times New Roman" w:hAnsi="Segoe UI" w:cs="Segoe UI"/>
      <w:color w:val="000000"/>
      <w:sz w:val="18"/>
      <w:szCs w:val="18"/>
      <w:lang w:val="vi-VN" w:eastAsia="vi-V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spacing w:before="120" w:after="0" w:line="240" w:lineRule="auto"/>
      <w:ind w:firstLine="567"/>
      <w:jc w:val="both"/>
    </w:pPr>
    <w:rPr>
      <w:rFonts w:ascii="Times New Roman" w:eastAsia="Times New Roman" w:hAnsi="Times New Roman" w:cs="Courier New"/>
      <w:color w:val="000000"/>
      <w:sz w:val="28"/>
      <w:szCs w:val="24"/>
      <w:lang w:val="vi-VN" w:eastAsia="vi-VN"/>
    </w:rPr>
  </w:style>
  <w:style w:type="paragraph" w:styleId="Heading1">
    <w:name w:val="heading 1"/>
    <w:basedOn w:val="Normal"/>
    <w:next w:val="Normal"/>
    <w:link w:val="Heading1Char"/>
    <w:uiPriority w:val="9"/>
    <w:qFormat/>
    <w:pPr>
      <w:keepNext/>
      <w:keepLines/>
      <w:outlineLvl w:val="0"/>
    </w:pPr>
    <w:rPr>
      <w:rFonts w:eastAsiaTheme="majorEastAsia" w:cstheme="majorBidi"/>
      <w:b/>
      <w:color w:val="auto"/>
      <w:szCs w:val="32"/>
    </w:rPr>
  </w:style>
  <w:style w:type="paragraph" w:styleId="Heading2">
    <w:name w:val="heading 2"/>
    <w:basedOn w:val="Normal"/>
    <w:next w:val="Normal"/>
    <w:link w:val="Heading2Char"/>
    <w:uiPriority w:val="9"/>
    <w:unhideWhenUsed/>
    <w:qFormat/>
    <w:pPr>
      <w:keepNext/>
      <w:keepLines/>
      <w:numPr>
        <w:numId w:val="2"/>
      </w:numPr>
      <w:outlineLvl w:val="1"/>
    </w:pPr>
    <w:rPr>
      <w:rFonts w:eastAsiaTheme="majorEastAsia" w:cstheme="majorBidi"/>
      <w:b/>
      <w:color w:val="auto"/>
      <w:szCs w:val="26"/>
    </w:rPr>
  </w:style>
  <w:style w:type="paragraph" w:styleId="Heading3">
    <w:name w:val="heading 3"/>
    <w:basedOn w:val="Normal"/>
    <w:next w:val="Normal"/>
    <w:link w:val="Heading3Char"/>
    <w:uiPriority w:val="9"/>
    <w:unhideWhenUsed/>
    <w:qFormat/>
    <w:pPr>
      <w:keepNext/>
      <w:keepLines/>
      <w:numPr>
        <w:numId w:val="3"/>
      </w:numPr>
      <w:outlineLvl w:val="2"/>
    </w:pPr>
    <w:rPr>
      <w:rFonts w:eastAsiaTheme="majorEastAsia" w:cstheme="majorBidi"/>
      <w:b/>
      <w:color w:val="auto"/>
    </w:rPr>
  </w:style>
  <w:style w:type="paragraph" w:styleId="Heading4">
    <w:name w:val="heading 4"/>
    <w:basedOn w:val="Normal"/>
    <w:next w:val="Normal"/>
    <w:link w:val="Heading4Char"/>
    <w:uiPriority w:val="9"/>
    <w:unhideWhenUsed/>
    <w:qFormat/>
    <w:pPr>
      <w:keepNext/>
      <w:keepLines/>
      <w:outlineLvl w:val="3"/>
    </w:pPr>
    <w:rPr>
      <w:rFonts w:eastAsiaTheme="majorEastAsia" w:cstheme="majorBidi"/>
      <w:b/>
      <w:iCs/>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line="240" w:lineRule="auto"/>
    </w:pPr>
    <w:rPr>
      <w:rFonts w:ascii="Courier New" w:eastAsia="Times New Roman" w:hAnsi="Courier New" w:cs="Courier New"/>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Courier New" w:eastAsia="Times New Roman" w:hAnsi="Courier New" w:cs="Courier New"/>
      <w:color w:val="000000"/>
      <w:sz w:val="20"/>
      <w:szCs w:val="20"/>
      <w:lang w:val="vi-VN" w:eastAsia="vi-VN"/>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Courier New" w:eastAsia="Times New Roman" w:hAnsi="Courier New" w:cs="Courier New"/>
      <w:b/>
      <w:bCs/>
      <w:color w:val="000000"/>
      <w:sz w:val="20"/>
      <w:szCs w:val="20"/>
      <w:lang w:val="vi-VN" w:eastAsia="vi-VN"/>
    </w:rPr>
  </w:style>
  <w:style w:type="paragraph" w:styleId="ListParagraph">
    <w:name w:val="List Paragraph"/>
    <w:basedOn w:val="Normal"/>
    <w:uiPriority w:val="34"/>
    <w:qFormat/>
    <w:pPr>
      <w:ind w:left="720"/>
      <w:contextualSpacing/>
    </w:pPr>
  </w:style>
  <w:style w:type="character" w:styleId="Strong">
    <w:name w:val="Strong"/>
    <w:basedOn w:val="DefaultParagraphFont"/>
    <w:uiPriority w:val="22"/>
    <w:qFormat/>
    <w:rPr>
      <w:b/>
      <w:bCs/>
    </w:rPr>
  </w:style>
  <w:style w:type="paragraph" w:styleId="NormalWeb">
    <w:name w:val="Normal (Web)"/>
    <w:basedOn w:val="Normal"/>
    <w:uiPriority w:val="99"/>
    <w:unhideWhenUsed/>
    <w:pPr>
      <w:widowControl/>
      <w:spacing w:before="100" w:beforeAutospacing="1" w:after="100" w:afterAutospacing="1"/>
    </w:pPr>
    <w:rPr>
      <w:rFonts w:cs="Times New Roman"/>
      <w:color w:val="auto"/>
      <w:lang w:val="en-US" w:eastAsia="en-US"/>
    </w:rPr>
  </w:style>
  <w:style w:type="character" w:customStyle="1" w:styleId="Heading1Char">
    <w:name w:val="Heading 1 Char"/>
    <w:basedOn w:val="DefaultParagraphFont"/>
    <w:link w:val="Heading1"/>
    <w:uiPriority w:val="9"/>
    <w:rPr>
      <w:rFonts w:ascii="Times New Roman" w:eastAsiaTheme="majorEastAsia" w:hAnsi="Times New Roman" w:cstheme="majorBidi"/>
      <w:b/>
      <w:sz w:val="28"/>
      <w:szCs w:val="32"/>
      <w:lang w:val="vi-VN" w:eastAsia="vi-VN"/>
    </w:rPr>
  </w:style>
  <w:style w:type="character" w:customStyle="1" w:styleId="Heading2Char">
    <w:name w:val="Heading 2 Char"/>
    <w:basedOn w:val="DefaultParagraphFont"/>
    <w:link w:val="Heading2"/>
    <w:uiPriority w:val="9"/>
    <w:rPr>
      <w:rFonts w:ascii="Times New Roman" w:eastAsiaTheme="majorEastAsia" w:hAnsi="Times New Roman" w:cstheme="majorBidi"/>
      <w:b/>
      <w:sz w:val="28"/>
      <w:szCs w:val="26"/>
      <w:lang w:val="vi-VN" w:eastAsia="vi-VN"/>
    </w:rPr>
  </w:style>
  <w:style w:type="character" w:customStyle="1" w:styleId="Heading3Char">
    <w:name w:val="Heading 3 Char"/>
    <w:basedOn w:val="DefaultParagraphFont"/>
    <w:link w:val="Heading3"/>
    <w:uiPriority w:val="9"/>
    <w:rPr>
      <w:rFonts w:ascii="Times New Roman" w:eastAsiaTheme="majorEastAsia" w:hAnsi="Times New Roman" w:cstheme="majorBidi"/>
      <w:b/>
      <w:sz w:val="28"/>
      <w:szCs w:val="24"/>
      <w:lang w:val="vi-VN" w:eastAsia="vi-VN"/>
    </w:rPr>
  </w:style>
  <w:style w:type="character" w:customStyle="1" w:styleId="Heading4Char">
    <w:name w:val="Heading 4 Char"/>
    <w:basedOn w:val="DefaultParagraphFont"/>
    <w:link w:val="Heading4"/>
    <w:uiPriority w:val="9"/>
    <w:rPr>
      <w:rFonts w:ascii="Times New Roman" w:eastAsiaTheme="majorEastAsia" w:hAnsi="Times New Roman" w:cstheme="majorBidi"/>
      <w:b/>
      <w:iCs/>
      <w:sz w:val="28"/>
      <w:szCs w:val="24"/>
      <w:lang w:val="vi-VN" w:eastAsia="vi-VN"/>
    </w:rPr>
  </w:style>
  <w:style w:type="paragraph" w:styleId="FootnoteText">
    <w:name w:val="footnote text"/>
    <w:basedOn w:val="Normal"/>
    <w:link w:val="FootnoteTextChar"/>
    <w:uiPriority w:val="99"/>
    <w:semiHidden/>
    <w:unhideWhenUsed/>
    <w:pPr>
      <w:widowControl/>
      <w:spacing w:before="0"/>
      <w:ind w:firstLine="0"/>
      <w:jc w:val="left"/>
    </w:pPr>
    <w:rPr>
      <w:rFonts w:asciiTheme="minorHAnsi" w:eastAsiaTheme="minorHAnsi" w:hAnsiTheme="minorHAnsi" w:cstheme="minorBidi"/>
      <w:color w:val="auto"/>
      <w:sz w:val="20"/>
      <w:szCs w:val="20"/>
      <w:lang w:val="en-US" w:eastAsia="en-US"/>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Header">
    <w:name w:val="header"/>
    <w:basedOn w:val="Normal"/>
    <w:link w:val="HeaderChar"/>
    <w:uiPriority w:val="99"/>
    <w:unhideWhenUsed/>
    <w:pPr>
      <w:tabs>
        <w:tab w:val="center" w:pos="4680"/>
        <w:tab w:val="right" w:pos="9360"/>
      </w:tabs>
      <w:spacing w:before="0"/>
    </w:pPr>
  </w:style>
  <w:style w:type="character" w:customStyle="1" w:styleId="HeaderChar">
    <w:name w:val="Header Char"/>
    <w:basedOn w:val="DefaultParagraphFont"/>
    <w:link w:val="Header"/>
    <w:uiPriority w:val="99"/>
    <w:rPr>
      <w:rFonts w:ascii="Times New Roman" w:eastAsia="Times New Roman" w:hAnsi="Times New Roman" w:cs="Courier New"/>
      <w:color w:val="000000"/>
      <w:sz w:val="28"/>
      <w:szCs w:val="24"/>
      <w:lang w:val="vi-VN" w:eastAsia="vi-VN"/>
    </w:rPr>
  </w:style>
  <w:style w:type="paragraph" w:styleId="Footer">
    <w:name w:val="footer"/>
    <w:basedOn w:val="Normal"/>
    <w:link w:val="FooterChar"/>
    <w:uiPriority w:val="99"/>
    <w:unhideWhenUsed/>
    <w:pPr>
      <w:tabs>
        <w:tab w:val="center" w:pos="4680"/>
        <w:tab w:val="right" w:pos="9360"/>
      </w:tabs>
      <w:spacing w:before="0"/>
    </w:pPr>
  </w:style>
  <w:style w:type="character" w:customStyle="1" w:styleId="FooterChar">
    <w:name w:val="Footer Char"/>
    <w:basedOn w:val="DefaultParagraphFont"/>
    <w:link w:val="Footer"/>
    <w:uiPriority w:val="99"/>
    <w:rPr>
      <w:rFonts w:ascii="Times New Roman" w:eastAsia="Times New Roman" w:hAnsi="Times New Roman" w:cs="Courier New"/>
      <w:color w:val="000000"/>
      <w:sz w:val="28"/>
      <w:szCs w:val="24"/>
      <w:lang w:val="vi-VN" w:eastAsia="vi-VN"/>
    </w:rPr>
  </w:style>
  <w:style w:type="paragraph" w:styleId="NoSpacing">
    <w:name w:val="No Spacing"/>
    <w:uiPriority w:val="1"/>
    <w:qFormat/>
    <w:pPr>
      <w:widowControl w:val="0"/>
      <w:spacing w:after="0" w:line="240" w:lineRule="auto"/>
      <w:ind w:firstLine="567"/>
      <w:jc w:val="both"/>
    </w:pPr>
    <w:rPr>
      <w:rFonts w:ascii="Times New Roman" w:eastAsia="Times New Roman" w:hAnsi="Times New Roman" w:cs="Courier New"/>
      <w:color w:val="000000"/>
      <w:sz w:val="28"/>
      <w:szCs w:val="24"/>
      <w:lang w:val="vi-VN" w:eastAsia="vi-VN"/>
    </w:rPr>
  </w:style>
  <w:style w:type="paragraph" w:styleId="BalloonText">
    <w:name w:val="Balloon Text"/>
    <w:basedOn w:val="Normal"/>
    <w:link w:val="BalloonTextChar"/>
    <w:uiPriority w:val="99"/>
    <w:semiHidden/>
    <w:unhideWhenUsed/>
    <w:pPr>
      <w:spacing w:before="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Times New Roman" w:hAnsi="Segoe UI" w:cs="Segoe UI"/>
      <w:color w:val="000000"/>
      <w:sz w:val="18"/>
      <w:szCs w:val="18"/>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189511">
      <w:bodyDiv w:val="1"/>
      <w:marLeft w:val="0"/>
      <w:marRight w:val="0"/>
      <w:marTop w:val="0"/>
      <w:marBottom w:val="0"/>
      <w:divBdr>
        <w:top w:val="none" w:sz="0" w:space="0" w:color="auto"/>
        <w:left w:val="none" w:sz="0" w:space="0" w:color="auto"/>
        <w:bottom w:val="none" w:sz="0" w:space="0" w:color="auto"/>
        <w:right w:val="none" w:sz="0" w:space="0" w:color="auto"/>
      </w:divBdr>
    </w:div>
    <w:div w:id="113253955">
      <w:bodyDiv w:val="1"/>
      <w:marLeft w:val="0"/>
      <w:marRight w:val="0"/>
      <w:marTop w:val="0"/>
      <w:marBottom w:val="0"/>
      <w:divBdr>
        <w:top w:val="none" w:sz="0" w:space="0" w:color="auto"/>
        <w:left w:val="none" w:sz="0" w:space="0" w:color="auto"/>
        <w:bottom w:val="none" w:sz="0" w:space="0" w:color="auto"/>
        <w:right w:val="none" w:sz="0" w:space="0" w:color="auto"/>
      </w:divBdr>
    </w:div>
    <w:div w:id="122433687">
      <w:bodyDiv w:val="1"/>
      <w:marLeft w:val="0"/>
      <w:marRight w:val="0"/>
      <w:marTop w:val="0"/>
      <w:marBottom w:val="0"/>
      <w:divBdr>
        <w:top w:val="none" w:sz="0" w:space="0" w:color="auto"/>
        <w:left w:val="none" w:sz="0" w:space="0" w:color="auto"/>
        <w:bottom w:val="none" w:sz="0" w:space="0" w:color="auto"/>
        <w:right w:val="none" w:sz="0" w:space="0" w:color="auto"/>
      </w:divBdr>
    </w:div>
    <w:div w:id="141579239">
      <w:bodyDiv w:val="1"/>
      <w:marLeft w:val="0"/>
      <w:marRight w:val="0"/>
      <w:marTop w:val="0"/>
      <w:marBottom w:val="0"/>
      <w:divBdr>
        <w:top w:val="none" w:sz="0" w:space="0" w:color="auto"/>
        <w:left w:val="none" w:sz="0" w:space="0" w:color="auto"/>
        <w:bottom w:val="none" w:sz="0" w:space="0" w:color="auto"/>
        <w:right w:val="none" w:sz="0" w:space="0" w:color="auto"/>
      </w:divBdr>
    </w:div>
    <w:div w:id="251671039">
      <w:bodyDiv w:val="1"/>
      <w:marLeft w:val="0"/>
      <w:marRight w:val="0"/>
      <w:marTop w:val="0"/>
      <w:marBottom w:val="0"/>
      <w:divBdr>
        <w:top w:val="none" w:sz="0" w:space="0" w:color="auto"/>
        <w:left w:val="none" w:sz="0" w:space="0" w:color="auto"/>
        <w:bottom w:val="none" w:sz="0" w:space="0" w:color="auto"/>
        <w:right w:val="none" w:sz="0" w:space="0" w:color="auto"/>
      </w:divBdr>
    </w:div>
    <w:div w:id="262618019">
      <w:bodyDiv w:val="1"/>
      <w:marLeft w:val="0"/>
      <w:marRight w:val="0"/>
      <w:marTop w:val="0"/>
      <w:marBottom w:val="0"/>
      <w:divBdr>
        <w:top w:val="none" w:sz="0" w:space="0" w:color="auto"/>
        <w:left w:val="none" w:sz="0" w:space="0" w:color="auto"/>
        <w:bottom w:val="none" w:sz="0" w:space="0" w:color="auto"/>
        <w:right w:val="none" w:sz="0" w:space="0" w:color="auto"/>
      </w:divBdr>
    </w:div>
    <w:div w:id="343749140">
      <w:bodyDiv w:val="1"/>
      <w:marLeft w:val="0"/>
      <w:marRight w:val="0"/>
      <w:marTop w:val="0"/>
      <w:marBottom w:val="0"/>
      <w:divBdr>
        <w:top w:val="none" w:sz="0" w:space="0" w:color="auto"/>
        <w:left w:val="none" w:sz="0" w:space="0" w:color="auto"/>
        <w:bottom w:val="none" w:sz="0" w:space="0" w:color="auto"/>
        <w:right w:val="none" w:sz="0" w:space="0" w:color="auto"/>
      </w:divBdr>
    </w:div>
    <w:div w:id="368460224">
      <w:bodyDiv w:val="1"/>
      <w:marLeft w:val="0"/>
      <w:marRight w:val="0"/>
      <w:marTop w:val="0"/>
      <w:marBottom w:val="0"/>
      <w:divBdr>
        <w:top w:val="none" w:sz="0" w:space="0" w:color="auto"/>
        <w:left w:val="none" w:sz="0" w:space="0" w:color="auto"/>
        <w:bottom w:val="none" w:sz="0" w:space="0" w:color="auto"/>
        <w:right w:val="none" w:sz="0" w:space="0" w:color="auto"/>
      </w:divBdr>
    </w:div>
    <w:div w:id="397939452">
      <w:bodyDiv w:val="1"/>
      <w:marLeft w:val="0"/>
      <w:marRight w:val="0"/>
      <w:marTop w:val="0"/>
      <w:marBottom w:val="0"/>
      <w:divBdr>
        <w:top w:val="none" w:sz="0" w:space="0" w:color="auto"/>
        <w:left w:val="none" w:sz="0" w:space="0" w:color="auto"/>
        <w:bottom w:val="none" w:sz="0" w:space="0" w:color="auto"/>
        <w:right w:val="none" w:sz="0" w:space="0" w:color="auto"/>
      </w:divBdr>
    </w:div>
    <w:div w:id="480388905">
      <w:bodyDiv w:val="1"/>
      <w:marLeft w:val="0"/>
      <w:marRight w:val="0"/>
      <w:marTop w:val="0"/>
      <w:marBottom w:val="0"/>
      <w:divBdr>
        <w:top w:val="none" w:sz="0" w:space="0" w:color="auto"/>
        <w:left w:val="none" w:sz="0" w:space="0" w:color="auto"/>
        <w:bottom w:val="none" w:sz="0" w:space="0" w:color="auto"/>
        <w:right w:val="none" w:sz="0" w:space="0" w:color="auto"/>
      </w:divBdr>
    </w:div>
    <w:div w:id="679160119">
      <w:bodyDiv w:val="1"/>
      <w:marLeft w:val="0"/>
      <w:marRight w:val="0"/>
      <w:marTop w:val="0"/>
      <w:marBottom w:val="0"/>
      <w:divBdr>
        <w:top w:val="none" w:sz="0" w:space="0" w:color="auto"/>
        <w:left w:val="none" w:sz="0" w:space="0" w:color="auto"/>
        <w:bottom w:val="none" w:sz="0" w:space="0" w:color="auto"/>
        <w:right w:val="none" w:sz="0" w:space="0" w:color="auto"/>
      </w:divBdr>
    </w:div>
    <w:div w:id="717827040">
      <w:bodyDiv w:val="1"/>
      <w:marLeft w:val="0"/>
      <w:marRight w:val="0"/>
      <w:marTop w:val="0"/>
      <w:marBottom w:val="0"/>
      <w:divBdr>
        <w:top w:val="none" w:sz="0" w:space="0" w:color="auto"/>
        <w:left w:val="none" w:sz="0" w:space="0" w:color="auto"/>
        <w:bottom w:val="none" w:sz="0" w:space="0" w:color="auto"/>
        <w:right w:val="none" w:sz="0" w:space="0" w:color="auto"/>
      </w:divBdr>
    </w:div>
    <w:div w:id="861168001">
      <w:bodyDiv w:val="1"/>
      <w:marLeft w:val="0"/>
      <w:marRight w:val="0"/>
      <w:marTop w:val="0"/>
      <w:marBottom w:val="0"/>
      <w:divBdr>
        <w:top w:val="none" w:sz="0" w:space="0" w:color="auto"/>
        <w:left w:val="none" w:sz="0" w:space="0" w:color="auto"/>
        <w:bottom w:val="none" w:sz="0" w:space="0" w:color="auto"/>
        <w:right w:val="none" w:sz="0" w:space="0" w:color="auto"/>
      </w:divBdr>
    </w:div>
    <w:div w:id="884685387">
      <w:bodyDiv w:val="1"/>
      <w:marLeft w:val="0"/>
      <w:marRight w:val="0"/>
      <w:marTop w:val="0"/>
      <w:marBottom w:val="0"/>
      <w:divBdr>
        <w:top w:val="none" w:sz="0" w:space="0" w:color="auto"/>
        <w:left w:val="none" w:sz="0" w:space="0" w:color="auto"/>
        <w:bottom w:val="none" w:sz="0" w:space="0" w:color="auto"/>
        <w:right w:val="none" w:sz="0" w:space="0" w:color="auto"/>
      </w:divBdr>
    </w:div>
    <w:div w:id="945501449">
      <w:bodyDiv w:val="1"/>
      <w:marLeft w:val="0"/>
      <w:marRight w:val="0"/>
      <w:marTop w:val="0"/>
      <w:marBottom w:val="0"/>
      <w:divBdr>
        <w:top w:val="none" w:sz="0" w:space="0" w:color="auto"/>
        <w:left w:val="none" w:sz="0" w:space="0" w:color="auto"/>
        <w:bottom w:val="none" w:sz="0" w:space="0" w:color="auto"/>
        <w:right w:val="none" w:sz="0" w:space="0" w:color="auto"/>
      </w:divBdr>
    </w:div>
    <w:div w:id="1009983509">
      <w:bodyDiv w:val="1"/>
      <w:marLeft w:val="0"/>
      <w:marRight w:val="0"/>
      <w:marTop w:val="0"/>
      <w:marBottom w:val="0"/>
      <w:divBdr>
        <w:top w:val="none" w:sz="0" w:space="0" w:color="auto"/>
        <w:left w:val="none" w:sz="0" w:space="0" w:color="auto"/>
        <w:bottom w:val="none" w:sz="0" w:space="0" w:color="auto"/>
        <w:right w:val="none" w:sz="0" w:space="0" w:color="auto"/>
      </w:divBdr>
    </w:div>
    <w:div w:id="1074162988">
      <w:bodyDiv w:val="1"/>
      <w:marLeft w:val="0"/>
      <w:marRight w:val="0"/>
      <w:marTop w:val="0"/>
      <w:marBottom w:val="0"/>
      <w:divBdr>
        <w:top w:val="none" w:sz="0" w:space="0" w:color="auto"/>
        <w:left w:val="none" w:sz="0" w:space="0" w:color="auto"/>
        <w:bottom w:val="none" w:sz="0" w:space="0" w:color="auto"/>
        <w:right w:val="none" w:sz="0" w:space="0" w:color="auto"/>
      </w:divBdr>
    </w:div>
    <w:div w:id="1128208758">
      <w:bodyDiv w:val="1"/>
      <w:marLeft w:val="0"/>
      <w:marRight w:val="0"/>
      <w:marTop w:val="0"/>
      <w:marBottom w:val="0"/>
      <w:divBdr>
        <w:top w:val="none" w:sz="0" w:space="0" w:color="auto"/>
        <w:left w:val="none" w:sz="0" w:space="0" w:color="auto"/>
        <w:bottom w:val="none" w:sz="0" w:space="0" w:color="auto"/>
        <w:right w:val="none" w:sz="0" w:space="0" w:color="auto"/>
      </w:divBdr>
    </w:div>
    <w:div w:id="1250583609">
      <w:bodyDiv w:val="1"/>
      <w:marLeft w:val="0"/>
      <w:marRight w:val="0"/>
      <w:marTop w:val="0"/>
      <w:marBottom w:val="0"/>
      <w:divBdr>
        <w:top w:val="none" w:sz="0" w:space="0" w:color="auto"/>
        <w:left w:val="none" w:sz="0" w:space="0" w:color="auto"/>
        <w:bottom w:val="none" w:sz="0" w:space="0" w:color="auto"/>
        <w:right w:val="none" w:sz="0" w:space="0" w:color="auto"/>
      </w:divBdr>
    </w:div>
    <w:div w:id="1254119937">
      <w:bodyDiv w:val="1"/>
      <w:marLeft w:val="0"/>
      <w:marRight w:val="0"/>
      <w:marTop w:val="0"/>
      <w:marBottom w:val="0"/>
      <w:divBdr>
        <w:top w:val="none" w:sz="0" w:space="0" w:color="auto"/>
        <w:left w:val="none" w:sz="0" w:space="0" w:color="auto"/>
        <w:bottom w:val="none" w:sz="0" w:space="0" w:color="auto"/>
        <w:right w:val="none" w:sz="0" w:space="0" w:color="auto"/>
      </w:divBdr>
    </w:div>
    <w:div w:id="1259799439">
      <w:bodyDiv w:val="1"/>
      <w:marLeft w:val="0"/>
      <w:marRight w:val="0"/>
      <w:marTop w:val="0"/>
      <w:marBottom w:val="0"/>
      <w:divBdr>
        <w:top w:val="none" w:sz="0" w:space="0" w:color="auto"/>
        <w:left w:val="none" w:sz="0" w:space="0" w:color="auto"/>
        <w:bottom w:val="none" w:sz="0" w:space="0" w:color="auto"/>
        <w:right w:val="none" w:sz="0" w:space="0" w:color="auto"/>
      </w:divBdr>
    </w:div>
    <w:div w:id="1339162836">
      <w:bodyDiv w:val="1"/>
      <w:marLeft w:val="0"/>
      <w:marRight w:val="0"/>
      <w:marTop w:val="0"/>
      <w:marBottom w:val="0"/>
      <w:divBdr>
        <w:top w:val="none" w:sz="0" w:space="0" w:color="auto"/>
        <w:left w:val="none" w:sz="0" w:space="0" w:color="auto"/>
        <w:bottom w:val="none" w:sz="0" w:space="0" w:color="auto"/>
        <w:right w:val="none" w:sz="0" w:space="0" w:color="auto"/>
      </w:divBdr>
    </w:div>
    <w:div w:id="1352681222">
      <w:bodyDiv w:val="1"/>
      <w:marLeft w:val="0"/>
      <w:marRight w:val="0"/>
      <w:marTop w:val="0"/>
      <w:marBottom w:val="0"/>
      <w:divBdr>
        <w:top w:val="none" w:sz="0" w:space="0" w:color="auto"/>
        <w:left w:val="none" w:sz="0" w:space="0" w:color="auto"/>
        <w:bottom w:val="none" w:sz="0" w:space="0" w:color="auto"/>
        <w:right w:val="none" w:sz="0" w:space="0" w:color="auto"/>
      </w:divBdr>
    </w:div>
    <w:div w:id="1399018904">
      <w:bodyDiv w:val="1"/>
      <w:marLeft w:val="0"/>
      <w:marRight w:val="0"/>
      <w:marTop w:val="0"/>
      <w:marBottom w:val="0"/>
      <w:divBdr>
        <w:top w:val="none" w:sz="0" w:space="0" w:color="auto"/>
        <w:left w:val="none" w:sz="0" w:space="0" w:color="auto"/>
        <w:bottom w:val="none" w:sz="0" w:space="0" w:color="auto"/>
        <w:right w:val="none" w:sz="0" w:space="0" w:color="auto"/>
      </w:divBdr>
    </w:div>
    <w:div w:id="1405254442">
      <w:bodyDiv w:val="1"/>
      <w:marLeft w:val="0"/>
      <w:marRight w:val="0"/>
      <w:marTop w:val="0"/>
      <w:marBottom w:val="0"/>
      <w:divBdr>
        <w:top w:val="none" w:sz="0" w:space="0" w:color="auto"/>
        <w:left w:val="none" w:sz="0" w:space="0" w:color="auto"/>
        <w:bottom w:val="none" w:sz="0" w:space="0" w:color="auto"/>
        <w:right w:val="none" w:sz="0" w:space="0" w:color="auto"/>
      </w:divBdr>
    </w:div>
    <w:div w:id="1439252127">
      <w:bodyDiv w:val="1"/>
      <w:marLeft w:val="0"/>
      <w:marRight w:val="0"/>
      <w:marTop w:val="0"/>
      <w:marBottom w:val="0"/>
      <w:divBdr>
        <w:top w:val="none" w:sz="0" w:space="0" w:color="auto"/>
        <w:left w:val="none" w:sz="0" w:space="0" w:color="auto"/>
        <w:bottom w:val="none" w:sz="0" w:space="0" w:color="auto"/>
        <w:right w:val="none" w:sz="0" w:space="0" w:color="auto"/>
      </w:divBdr>
    </w:div>
    <w:div w:id="1502742452">
      <w:bodyDiv w:val="1"/>
      <w:marLeft w:val="0"/>
      <w:marRight w:val="0"/>
      <w:marTop w:val="0"/>
      <w:marBottom w:val="0"/>
      <w:divBdr>
        <w:top w:val="none" w:sz="0" w:space="0" w:color="auto"/>
        <w:left w:val="none" w:sz="0" w:space="0" w:color="auto"/>
        <w:bottom w:val="none" w:sz="0" w:space="0" w:color="auto"/>
        <w:right w:val="none" w:sz="0" w:space="0" w:color="auto"/>
      </w:divBdr>
    </w:div>
    <w:div w:id="1543443032">
      <w:bodyDiv w:val="1"/>
      <w:marLeft w:val="0"/>
      <w:marRight w:val="0"/>
      <w:marTop w:val="0"/>
      <w:marBottom w:val="0"/>
      <w:divBdr>
        <w:top w:val="none" w:sz="0" w:space="0" w:color="auto"/>
        <w:left w:val="none" w:sz="0" w:space="0" w:color="auto"/>
        <w:bottom w:val="none" w:sz="0" w:space="0" w:color="auto"/>
        <w:right w:val="none" w:sz="0" w:space="0" w:color="auto"/>
      </w:divBdr>
    </w:div>
    <w:div w:id="1556504184">
      <w:bodyDiv w:val="1"/>
      <w:marLeft w:val="0"/>
      <w:marRight w:val="0"/>
      <w:marTop w:val="0"/>
      <w:marBottom w:val="0"/>
      <w:divBdr>
        <w:top w:val="none" w:sz="0" w:space="0" w:color="auto"/>
        <w:left w:val="none" w:sz="0" w:space="0" w:color="auto"/>
        <w:bottom w:val="none" w:sz="0" w:space="0" w:color="auto"/>
        <w:right w:val="none" w:sz="0" w:space="0" w:color="auto"/>
      </w:divBdr>
    </w:div>
    <w:div w:id="1619947980">
      <w:bodyDiv w:val="1"/>
      <w:marLeft w:val="0"/>
      <w:marRight w:val="0"/>
      <w:marTop w:val="0"/>
      <w:marBottom w:val="0"/>
      <w:divBdr>
        <w:top w:val="none" w:sz="0" w:space="0" w:color="auto"/>
        <w:left w:val="none" w:sz="0" w:space="0" w:color="auto"/>
        <w:bottom w:val="none" w:sz="0" w:space="0" w:color="auto"/>
        <w:right w:val="none" w:sz="0" w:space="0" w:color="auto"/>
      </w:divBdr>
    </w:div>
    <w:div w:id="1682850409">
      <w:bodyDiv w:val="1"/>
      <w:marLeft w:val="0"/>
      <w:marRight w:val="0"/>
      <w:marTop w:val="0"/>
      <w:marBottom w:val="0"/>
      <w:divBdr>
        <w:top w:val="none" w:sz="0" w:space="0" w:color="auto"/>
        <w:left w:val="none" w:sz="0" w:space="0" w:color="auto"/>
        <w:bottom w:val="none" w:sz="0" w:space="0" w:color="auto"/>
        <w:right w:val="none" w:sz="0" w:space="0" w:color="auto"/>
      </w:divBdr>
    </w:div>
    <w:div w:id="1741368039">
      <w:bodyDiv w:val="1"/>
      <w:marLeft w:val="0"/>
      <w:marRight w:val="0"/>
      <w:marTop w:val="0"/>
      <w:marBottom w:val="0"/>
      <w:divBdr>
        <w:top w:val="none" w:sz="0" w:space="0" w:color="auto"/>
        <w:left w:val="none" w:sz="0" w:space="0" w:color="auto"/>
        <w:bottom w:val="none" w:sz="0" w:space="0" w:color="auto"/>
        <w:right w:val="none" w:sz="0" w:space="0" w:color="auto"/>
      </w:divBdr>
    </w:div>
    <w:div w:id="1823617090">
      <w:bodyDiv w:val="1"/>
      <w:marLeft w:val="0"/>
      <w:marRight w:val="0"/>
      <w:marTop w:val="0"/>
      <w:marBottom w:val="0"/>
      <w:divBdr>
        <w:top w:val="none" w:sz="0" w:space="0" w:color="auto"/>
        <w:left w:val="none" w:sz="0" w:space="0" w:color="auto"/>
        <w:bottom w:val="none" w:sz="0" w:space="0" w:color="auto"/>
        <w:right w:val="none" w:sz="0" w:space="0" w:color="auto"/>
      </w:divBdr>
    </w:div>
    <w:div w:id="1826168478">
      <w:bodyDiv w:val="1"/>
      <w:marLeft w:val="0"/>
      <w:marRight w:val="0"/>
      <w:marTop w:val="0"/>
      <w:marBottom w:val="0"/>
      <w:divBdr>
        <w:top w:val="none" w:sz="0" w:space="0" w:color="auto"/>
        <w:left w:val="none" w:sz="0" w:space="0" w:color="auto"/>
        <w:bottom w:val="none" w:sz="0" w:space="0" w:color="auto"/>
        <w:right w:val="none" w:sz="0" w:space="0" w:color="auto"/>
      </w:divBdr>
    </w:div>
    <w:div w:id="1860656568">
      <w:bodyDiv w:val="1"/>
      <w:marLeft w:val="0"/>
      <w:marRight w:val="0"/>
      <w:marTop w:val="0"/>
      <w:marBottom w:val="0"/>
      <w:divBdr>
        <w:top w:val="none" w:sz="0" w:space="0" w:color="auto"/>
        <w:left w:val="none" w:sz="0" w:space="0" w:color="auto"/>
        <w:bottom w:val="none" w:sz="0" w:space="0" w:color="auto"/>
        <w:right w:val="none" w:sz="0" w:space="0" w:color="auto"/>
      </w:divBdr>
    </w:div>
    <w:div w:id="1898734471">
      <w:bodyDiv w:val="1"/>
      <w:marLeft w:val="0"/>
      <w:marRight w:val="0"/>
      <w:marTop w:val="0"/>
      <w:marBottom w:val="0"/>
      <w:divBdr>
        <w:top w:val="none" w:sz="0" w:space="0" w:color="auto"/>
        <w:left w:val="none" w:sz="0" w:space="0" w:color="auto"/>
        <w:bottom w:val="none" w:sz="0" w:space="0" w:color="auto"/>
        <w:right w:val="none" w:sz="0" w:space="0" w:color="auto"/>
      </w:divBdr>
    </w:div>
    <w:div w:id="1943494087">
      <w:bodyDiv w:val="1"/>
      <w:marLeft w:val="0"/>
      <w:marRight w:val="0"/>
      <w:marTop w:val="0"/>
      <w:marBottom w:val="0"/>
      <w:divBdr>
        <w:top w:val="none" w:sz="0" w:space="0" w:color="auto"/>
        <w:left w:val="none" w:sz="0" w:space="0" w:color="auto"/>
        <w:bottom w:val="none" w:sz="0" w:space="0" w:color="auto"/>
        <w:right w:val="none" w:sz="0" w:space="0" w:color="auto"/>
      </w:divBdr>
    </w:div>
    <w:div w:id="2060470697">
      <w:bodyDiv w:val="1"/>
      <w:marLeft w:val="0"/>
      <w:marRight w:val="0"/>
      <w:marTop w:val="0"/>
      <w:marBottom w:val="0"/>
      <w:divBdr>
        <w:top w:val="none" w:sz="0" w:space="0" w:color="auto"/>
        <w:left w:val="none" w:sz="0" w:space="0" w:color="auto"/>
        <w:bottom w:val="none" w:sz="0" w:space="0" w:color="auto"/>
        <w:right w:val="none" w:sz="0" w:space="0" w:color="auto"/>
      </w:divBdr>
    </w:div>
    <w:div w:id="2066484487">
      <w:bodyDiv w:val="1"/>
      <w:marLeft w:val="0"/>
      <w:marRight w:val="0"/>
      <w:marTop w:val="0"/>
      <w:marBottom w:val="0"/>
      <w:divBdr>
        <w:top w:val="none" w:sz="0" w:space="0" w:color="auto"/>
        <w:left w:val="none" w:sz="0" w:space="0" w:color="auto"/>
        <w:bottom w:val="none" w:sz="0" w:space="0" w:color="auto"/>
        <w:right w:val="none" w:sz="0" w:space="0" w:color="auto"/>
      </w:divBdr>
    </w:div>
    <w:div w:id="2113670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EBDA05-EBF8-475A-B531-0E266E6DB6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5090</Words>
  <Characters>29014</Characters>
  <Application>Microsoft Office Word</Application>
  <DocSecurity>0</DocSecurity>
  <Lines>241</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Nguyen Ngoc Hung</dc:creator>
  <cp:lastModifiedBy>ASUS</cp:lastModifiedBy>
  <cp:revision>2</cp:revision>
  <cp:lastPrinted>2026-10-02T01:34:00Z</cp:lastPrinted>
  <dcterms:created xsi:type="dcterms:W3CDTF">2026-10-02T13:45:00Z</dcterms:created>
  <dcterms:modified xsi:type="dcterms:W3CDTF">2026-10-02T13:45:00Z</dcterms:modified>
</cp:coreProperties>
</file>