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3" w:type="dxa"/>
        <w:tblInd w:w="-172" w:type="dxa"/>
        <w:tblLook w:val="01E0" w:firstRow="1" w:lastRow="1" w:firstColumn="1" w:lastColumn="1" w:noHBand="0" w:noVBand="0"/>
      </w:tblPr>
      <w:tblGrid>
        <w:gridCol w:w="3541"/>
        <w:gridCol w:w="6112"/>
      </w:tblGrid>
      <w:tr w:rsidR="00187F1C">
        <w:trPr>
          <w:trHeight w:val="853"/>
        </w:trPr>
        <w:tc>
          <w:tcPr>
            <w:tcW w:w="3541" w:type="dxa"/>
          </w:tcPr>
          <w:p w:rsidR="00187F1C" w:rsidRDefault="00422858">
            <w:pPr>
              <w:keepNext/>
              <w:jc w:val="center"/>
              <w:outlineLvl w:val="1"/>
              <w:rPr>
                <w:b/>
                <w:bCs/>
                <w:szCs w:val="26"/>
              </w:rPr>
            </w:pPr>
            <w:bookmarkStart w:id="0" w:name="_GoBack"/>
            <w:bookmarkEnd w:id="0"/>
            <w:r>
              <w:rPr>
                <w:b/>
                <w:bCs/>
                <w:szCs w:val="26"/>
              </w:rPr>
              <w:t>UỶ BAN NHÂN DÂN</w:t>
            </w:r>
          </w:p>
          <w:p w:rsidR="00187F1C" w:rsidRDefault="00422858">
            <w:pPr>
              <w:keepNext/>
              <w:jc w:val="center"/>
              <w:outlineLvl w:val="1"/>
              <w:rPr>
                <w:b/>
                <w:bCs/>
                <w:szCs w:val="26"/>
              </w:rPr>
            </w:pPr>
            <w:r>
              <w:rPr>
                <w:b/>
                <w:bCs/>
                <w:szCs w:val="26"/>
              </w:rPr>
              <w:t>TỈNH THANH HÓA</w:t>
            </w:r>
          </w:p>
          <w:p w:rsidR="00187F1C" w:rsidRDefault="00422858">
            <w:pPr>
              <w:keepNext/>
              <w:spacing w:line="360" w:lineRule="exact"/>
              <w:outlineLvl w:val="1"/>
              <w:rPr>
                <w:b/>
                <w:bCs/>
                <w:sz w:val="26"/>
                <w:szCs w:val="26"/>
              </w:rPr>
            </w:pPr>
            <w:r>
              <w:rPr>
                <w:noProof/>
              </w:rPr>
              <mc:AlternateContent>
                <mc:Choice Requires="wps">
                  <w:drawing>
                    <wp:anchor distT="0" distB="0" distL="114300" distR="114300" simplePos="0" relativeHeight="251656192" behindDoc="0" locked="0" layoutInCell="1" allowOverlap="1">
                      <wp:simplePos x="0" y="0"/>
                      <wp:positionH relativeFrom="column">
                        <wp:posOffset>610235</wp:posOffset>
                      </wp:positionH>
                      <wp:positionV relativeFrom="paragraph">
                        <wp:posOffset>22225</wp:posOffset>
                      </wp:positionV>
                      <wp:extent cx="815340" cy="0"/>
                      <wp:effectExtent l="9525" t="7620" r="13335" b="1143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5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E55DFD" id="Line 1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5pt,1.75pt" to="112.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"/>
                  </w:pict>
                </mc:Fallback>
              </mc:AlternateContent>
            </w:r>
            <w:r>
              <w:rPr>
                <w:b/>
                <w:bCs/>
                <w:sz w:val="26"/>
                <w:szCs w:val="26"/>
              </w:rPr>
              <w:t xml:space="preserve">              </w:t>
            </w:r>
          </w:p>
        </w:tc>
        <w:tc>
          <w:tcPr>
            <w:tcW w:w="6112" w:type="dxa"/>
          </w:tcPr>
          <w:p w:rsidR="00187F1C" w:rsidRDefault="00422858">
            <w:pPr>
              <w:keepNext/>
              <w:jc w:val="center"/>
              <w:outlineLvl w:val="1"/>
              <w:rPr>
                <w:b/>
                <w:bCs/>
                <w:sz w:val="26"/>
                <w:szCs w:val="26"/>
              </w:rPr>
            </w:pPr>
            <w:r>
              <w:rPr>
                <w:b/>
                <w:bCs/>
                <w:sz w:val="26"/>
                <w:szCs w:val="26"/>
              </w:rPr>
              <w:t>CỘNG H</w:t>
            </w:r>
            <w:r>
              <w:rPr>
                <w:b/>
                <w:bCs/>
                <w:sz w:val="26"/>
                <w:szCs w:val="26"/>
                <w:lang w:val="vi-VN"/>
              </w:rPr>
              <w:t>ÒA</w:t>
            </w:r>
            <w:r>
              <w:rPr>
                <w:b/>
                <w:bCs/>
                <w:sz w:val="26"/>
                <w:szCs w:val="26"/>
              </w:rPr>
              <w:t xml:space="preserve"> XÃ HỘI CHỦ NGHĨA VIỆT NAM</w:t>
            </w:r>
          </w:p>
          <w:p w:rsidR="00187F1C" w:rsidRDefault="00422858">
            <w:pPr>
              <w:keepNext/>
              <w:spacing w:line="360" w:lineRule="exact"/>
              <w:jc w:val="center"/>
              <w:outlineLvl w:val="1"/>
              <w:rPr>
                <w:b/>
                <w:bCs/>
              </w:rPr>
            </w:pPr>
            <w:r>
              <w:rPr>
                <w:noProof/>
              </w:rPr>
              <mc:AlternateContent>
                <mc:Choice Requires="wps">
                  <w:drawing>
                    <wp:anchor distT="0" distB="0" distL="114300" distR="114300" simplePos="0" relativeHeight="251657216" behindDoc="0" locked="0" layoutInCell="1" allowOverlap="1">
                      <wp:simplePos x="0" y="0"/>
                      <wp:positionH relativeFrom="column">
                        <wp:posOffset>779145</wp:posOffset>
                      </wp:positionH>
                      <wp:positionV relativeFrom="paragraph">
                        <wp:posOffset>243840</wp:posOffset>
                      </wp:positionV>
                      <wp:extent cx="2124075" cy="0"/>
                      <wp:effectExtent l="7620" t="10795" r="11430" b="825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6188CF"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5pt,19.2pt" to="228.6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"/>
                  </w:pict>
                </mc:Fallback>
              </mc:AlternateContent>
            </w:r>
            <w:r>
              <w:rPr>
                <w:b/>
                <w:bCs/>
              </w:rPr>
              <w:t>Độc lập - Tự do - Hạnh phúc</w:t>
            </w:r>
          </w:p>
        </w:tc>
      </w:tr>
      <w:tr w:rsidR="00187F1C">
        <w:trPr>
          <w:trHeight w:val="792"/>
        </w:trPr>
        <w:tc>
          <w:tcPr>
            <w:tcW w:w="3541" w:type="dxa"/>
          </w:tcPr>
          <w:p w:rsidR="00187F1C" w:rsidRDefault="00422858">
            <w:pPr>
              <w:keepNext/>
              <w:spacing w:before="120" w:after="60"/>
              <w:outlineLvl w:val="1"/>
              <w:rPr>
                <w:bCs/>
                <w:color w:val="000000"/>
                <w:sz w:val="26"/>
                <w:szCs w:val="26"/>
              </w:rPr>
            </w:pPr>
            <w:r>
              <w:rPr>
                <w:bCs/>
                <w:color w:val="000000"/>
              </w:rPr>
              <w:t xml:space="preserve">      Số:           /TTr-</w:t>
            </w:r>
            <w:r>
              <w:rPr>
                <w:bCs/>
                <w:color w:val="000000"/>
                <w:sz w:val="26"/>
                <w:szCs w:val="26"/>
              </w:rPr>
              <w:t>UBND</w:t>
            </w:r>
          </w:p>
          <w:tbl>
            <w:tblPr>
              <w:tblStyle w:val="TableGrid"/>
              <w:tblW w:w="0" w:type="auto"/>
              <w:tblInd w:w="437" w:type="dxa"/>
              <w:tblLook w:val="04A0" w:firstRow="1" w:lastRow="0" w:firstColumn="1" w:lastColumn="0" w:noHBand="0" w:noVBand="1"/>
            </w:tblPr>
            <w:tblGrid>
              <w:gridCol w:w="1530"/>
            </w:tblGrid>
            <w:tr w:rsidR="00187F1C">
              <w:tc>
                <w:tcPr>
                  <w:tcW w:w="1530" w:type="dxa"/>
                </w:tcPr>
                <w:p w:rsidR="00187F1C" w:rsidRDefault="00422858">
                  <w:pPr>
                    <w:keepNext/>
                    <w:spacing w:before="120" w:after="60"/>
                    <w:jc w:val="center"/>
                    <w:outlineLvl w:val="1"/>
                    <w:rPr>
                      <w:b/>
                      <w:color w:val="000000"/>
                      <w:sz w:val="26"/>
                      <w:szCs w:val="26"/>
                    </w:rPr>
                  </w:pPr>
                  <w:r>
                    <w:rPr>
                      <w:b/>
                      <w:color w:val="000000"/>
                      <w:sz w:val="26"/>
                      <w:szCs w:val="26"/>
                    </w:rPr>
                    <w:t>DỰ THẢO</w:t>
                  </w:r>
                </w:p>
              </w:tc>
            </w:tr>
          </w:tbl>
          <w:p w:rsidR="00187F1C" w:rsidRDefault="00187F1C">
            <w:pPr>
              <w:ind w:right="-114"/>
              <w:rPr>
                <w:bCs/>
                <w:color w:val="000000"/>
                <w:sz w:val="24"/>
              </w:rPr>
            </w:pPr>
          </w:p>
        </w:tc>
        <w:tc>
          <w:tcPr>
            <w:tcW w:w="6112" w:type="dxa"/>
          </w:tcPr>
          <w:p w:rsidR="00187F1C" w:rsidRDefault="00422858">
            <w:pPr>
              <w:keepNext/>
              <w:spacing w:before="60"/>
              <w:ind w:left="28"/>
              <w:jc w:val="center"/>
              <w:outlineLvl w:val="1"/>
              <w:rPr>
                <w:b/>
                <w:bCs/>
                <w:color w:val="000000"/>
                <w:sz w:val="26"/>
                <w:szCs w:val="26"/>
              </w:rPr>
            </w:pPr>
            <w:r>
              <w:rPr>
                <w:bCs/>
                <w:i/>
                <w:color w:val="000000"/>
                <w:szCs w:val="26"/>
              </w:rPr>
              <w:t xml:space="preserve">Thanh Hóa, ngày  </w:t>
            </w:r>
            <w:r>
              <w:rPr>
                <w:bCs/>
                <w:i/>
                <w:color w:val="000000"/>
                <w:szCs w:val="26"/>
                <w:lang w:val="vi-VN"/>
              </w:rPr>
              <w:t xml:space="preserve"> </w:t>
            </w:r>
            <w:r>
              <w:rPr>
                <w:bCs/>
                <w:i/>
                <w:color w:val="000000"/>
                <w:szCs w:val="26"/>
              </w:rPr>
              <w:t xml:space="preserve">  tháng      năm 2026</w:t>
            </w:r>
          </w:p>
        </w:tc>
      </w:tr>
    </w:tbl>
    <w:p w:rsidR="00187F1C" w:rsidRDefault="00422858">
      <w:pPr>
        <w:jc w:val="center"/>
        <w:rPr>
          <w:b/>
        </w:rPr>
      </w:pPr>
      <w:r>
        <w:rPr>
          <w:b/>
        </w:rPr>
        <w:t>TỜ TRÌNH</w:t>
      </w:r>
    </w:p>
    <w:p w:rsidR="00187F1C" w:rsidRDefault="00422858">
      <w:pPr>
        <w:jc w:val="center"/>
        <w:rPr>
          <w:b/>
          <w:bCs/>
        </w:rPr>
      </w:pPr>
      <w:r>
        <w:rPr>
          <w:b/>
        </w:rPr>
        <w:t xml:space="preserve">Về việc dự thảo Nghị quyết của Hội đồng nhân dân tỉnh </w:t>
      </w:r>
      <w:r>
        <w:rPr>
          <w:b/>
          <w:bCs/>
        </w:rPr>
        <w:t xml:space="preserve">quy định </w:t>
      </w:r>
      <w:bookmarkStart w:id="1" w:name="_Hlk233721685"/>
    </w:p>
    <w:p w:rsidR="00187F1C" w:rsidRDefault="00422858">
      <w:pPr>
        <w:jc w:val="center"/>
        <w:rPr>
          <w:b/>
          <w:bCs/>
        </w:rPr>
      </w:pPr>
      <w:r>
        <w:rPr>
          <w:b/>
          <w:bCs/>
        </w:rPr>
        <w:t xml:space="preserve">chính sách hỗ trợ kinh phí mua thẻ bảo hiểm y tế cho người cao tuổi </w:t>
      </w:r>
    </w:p>
    <w:p w:rsidR="00187F1C" w:rsidRDefault="00422858">
      <w:pPr>
        <w:jc w:val="center"/>
        <w:rPr>
          <w:b/>
        </w:rPr>
      </w:pPr>
      <w:r>
        <w:rPr>
          <w:b/>
          <w:bCs/>
          <w:lang w:val="vi-VN"/>
        </w:rPr>
        <w:t>trên địa bàn tỉnh Thanh Hóa</w:t>
      </w:r>
    </w:p>
    <w:bookmarkEnd w:id="1"/>
    <w:p w:rsidR="00187F1C" w:rsidRDefault="00422858">
      <w:pPr>
        <w:spacing w:line="264" w:lineRule="auto"/>
        <w:jc w:val="center"/>
        <w:rPr>
          <w:color w:val="000000"/>
        </w:rPr>
      </w:pPr>
      <w:r>
        <w:rPr>
          <w:noProof/>
          <w:color w:val="000000"/>
        </w:rPr>
        <mc:AlternateContent>
          <mc:Choice Requires="wps">
            <w:drawing>
              <wp:anchor distT="4294967295" distB="4294967295" distL="114300" distR="114300" simplePos="0" relativeHeight="251658240" behindDoc="0" locked="0" layoutInCell="1" allowOverlap="1">
                <wp:simplePos x="0" y="0"/>
                <wp:positionH relativeFrom="column">
                  <wp:posOffset>2265045</wp:posOffset>
                </wp:positionH>
                <wp:positionV relativeFrom="paragraph">
                  <wp:posOffset>58419</wp:posOffset>
                </wp:positionV>
                <wp:extent cx="97536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5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C49C61" id="Straight Connector 10"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35pt,4.6pt" to="255.1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"/>
            </w:pict>
          </mc:Fallback>
        </mc:AlternateContent>
      </w:r>
    </w:p>
    <w:p w:rsidR="00187F1C" w:rsidRDefault="00187F1C">
      <w:pPr>
        <w:spacing w:line="264" w:lineRule="auto"/>
        <w:jc w:val="center"/>
        <w:rPr>
          <w:color w:val="000000"/>
          <w:sz w:val="10"/>
        </w:rPr>
      </w:pPr>
    </w:p>
    <w:p w:rsidR="00187F1C" w:rsidRDefault="00422858">
      <w:pPr>
        <w:jc w:val="center"/>
        <w:rPr>
          <w:color w:val="000000"/>
        </w:rPr>
      </w:pPr>
      <w:r>
        <w:rPr>
          <w:color w:val="000000"/>
        </w:rPr>
        <w:t>Kính gửi: Hội đồng nhân dân tỉnh Thanh Hóa.</w:t>
      </w:r>
    </w:p>
    <w:p w:rsidR="00187F1C" w:rsidRDefault="00187F1C">
      <w:pPr>
        <w:spacing w:line="264" w:lineRule="auto"/>
        <w:jc w:val="center"/>
        <w:rPr>
          <w:color w:val="000000"/>
          <w:sz w:val="14"/>
        </w:rPr>
      </w:pPr>
    </w:p>
    <w:p w:rsidR="00187F1C" w:rsidRDefault="00422858">
      <w:pPr>
        <w:spacing w:before="120"/>
        <w:ind w:firstLine="709"/>
        <w:jc w:val="both"/>
      </w:pPr>
      <w:r>
        <w:t xml:space="preserve">Thực hiện quy định của Luật Ban hành văn bản quy phạm pháp luật số 64/2025/QH15 </w:t>
      </w:r>
      <w:r>
        <w:rPr>
          <w:i/>
          <w:iCs/>
        </w:rPr>
        <w:t>(được sửa đổi, bổ sung bởi Luật số 87/2025/QH15)</w:t>
      </w:r>
      <w:r>
        <w:t xml:space="preserve">; Nghị định số 78/2025/NĐ-CP ngày </w:t>
      </w:r>
      <w:bookmarkStart w:id="2" w:name="_Hlk219881048"/>
      <w:r>
        <w:t xml:space="preserve">01/4/2025 </w:t>
      </w:r>
      <w:bookmarkEnd w:id="2"/>
      <w:r>
        <w:t>của Chính phủ quy định chi tiết một số điều và biện pháp để tổ chức, hướng dẫn thi h</w:t>
      </w:r>
      <w:r>
        <w:t>ành Luật ban hành văn bản quy phạm pháp luật được sửa đổi, bổ sung bởi Nghị định số 187/2025/NĐ-CP ngày 01/7/2025;</w:t>
      </w:r>
    </w:p>
    <w:p w:rsidR="00187F1C" w:rsidRDefault="00422858">
      <w:pPr>
        <w:shd w:val="clear" w:color="auto" w:fill="FFFFFF"/>
        <w:spacing w:before="120"/>
        <w:ind w:firstLine="720"/>
        <w:jc w:val="both"/>
      </w:pPr>
      <w:r>
        <w:t>Theo đề nghị của Sở Y tế tại Tờ trình số:…/TTr-SYT  ngày…./10/2026; báo cáo thẩm định của Sở Tư pháp tại Công văn số:…/BCTĐ-STP ngày   …./</w:t>
      </w:r>
      <w:r>
        <w:rPr>
          <w:lang w:val="vi-VN"/>
        </w:rPr>
        <w:t>10</w:t>
      </w:r>
      <w:r>
        <w:t>/</w:t>
      </w:r>
      <w:r>
        <w:t>2026; Ủy ban nhân dân tỉnh kính trình Hội đồng nhân dân tỉnh xem xét, ban hành Nghị quyết quy định</w:t>
      </w:r>
      <w:r>
        <w:rPr>
          <w:b/>
          <w:bCs/>
        </w:rPr>
        <w:t xml:space="preserve"> </w:t>
      </w:r>
      <w:r>
        <w:t xml:space="preserve">chính sách </w:t>
      </w:r>
      <w:r>
        <w:rPr>
          <w:lang w:val="vi-VN"/>
        </w:rPr>
        <w:t xml:space="preserve">hỗ trợ kinh phí mua thẻ bảo hiểm y tế </w:t>
      </w:r>
      <w:r>
        <w:t xml:space="preserve">cho </w:t>
      </w:r>
      <w:r>
        <w:rPr>
          <w:lang w:val="vi-VN"/>
        </w:rPr>
        <w:t>người cao tuổi trên địa bàn tỉnh Thanh Hóa</w:t>
      </w:r>
      <w:r>
        <w:t>, cụ thể như sau:</w:t>
      </w:r>
    </w:p>
    <w:p w:rsidR="00187F1C" w:rsidRDefault="00422858">
      <w:pPr>
        <w:spacing w:before="120"/>
        <w:ind w:firstLine="720"/>
        <w:jc w:val="both"/>
        <w:rPr>
          <w:b/>
          <w:color w:val="000000"/>
        </w:rPr>
      </w:pPr>
      <w:r>
        <w:rPr>
          <w:b/>
          <w:color w:val="000000"/>
        </w:rPr>
        <w:t>I. SỰ CẦN THIẾT BAN HÀNH NGHỊ QUYẾT</w:t>
      </w:r>
    </w:p>
    <w:p w:rsidR="00187F1C" w:rsidRDefault="00422858">
      <w:pPr>
        <w:shd w:val="clear" w:color="auto" w:fill="FFFFFF"/>
        <w:spacing w:before="120"/>
        <w:ind w:firstLine="720"/>
        <w:jc w:val="both"/>
        <w:rPr>
          <w:b/>
          <w:bCs/>
          <w:color w:val="000000"/>
        </w:rPr>
      </w:pPr>
      <w:r>
        <w:rPr>
          <w:b/>
          <w:bCs/>
          <w:color w:val="000000"/>
        </w:rPr>
        <w:t>1. Cơ sở</w:t>
      </w:r>
      <w:r>
        <w:rPr>
          <w:b/>
          <w:bCs/>
          <w:color w:val="000000"/>
        </w:rPr>
        <w:t xml:space="preserve"> chính trị</w:t>
      </w:r>
    </w:p>
    <w:p w:rsidR="00187F1C" w:rsidRDefault="00422858">
      <w:pPr>
        <w:spacing w:before="120"/>
        <w:ind w:firstLine="720"/>
        <w:jc w:val="both"/>
      </w:pPr>
      <w:r>
        <w:rPr>
          <w:color w:val="000000"/>
        </w:rPr>
        <w:t>- Nghị quyết số 72-NQ/TW ngày 09/9/2025 của Bộ Chính trị về một số giải pháp đột phá, tăng cường bảo vệ, chăm sóc và nâng cao sức khỏe nhân dân,</w:t>
      </w:r>
      <w:r>
        <w:t xml:space="preserve"> trong đó nhấn mạnh ưu tiên chăm sóc sức khỏe cho các nhóm đối tượng yếu thế, bao gồm người cao tuổi.</w:t>
      </w:r>
    </w:p>
    <w:p w:rsidR="00187F1C" w:rsidRDefault="00422858">
      <w:pPr>
        <w:shd w:val="clear" w:color="auto" w:fill="FFFFFF"/>
        <w:spacing w:before="120"/>
        <w:ind w:firstLine="720"/>
        <w:jc w:val="both"/>
        <w:rPr>
          <w:color w:val="000000"/>
          <w:shd w:val="clear" w:color="auto" w:fill="FFFFFF"/>
        </w:rPr>
      </w:pPr>
      <w:r>
        <w:rPr>
          <w:bCs/>
          <w:color w:val="000000"/>
        </w:rPr>
        <w:t xml:space="preserve">- </w:t>
      </w:r>
      <w:r>
        <w:rPr>
          <w:color w:val="000000"/>
          <w:shd w:val="clear" w:color="auto" w:fill="FFFFFF"/>
        </w:rPr>
        <w:t>Nghị quyết số 261/2025/QH15 ngày 11/12/2025 của Quốc hội về một số cơ chế, chính sách đặc biệt tạo đột phá cho công tác bảo vệ, chăm sóc và nâng cao sức khỏe Nhân dân;</w:t>
      </w:r>
    </w:p>
    <w:p w:rsidR="00187F1C" w:rsidRDefault="00422858">
      <w:pPr>
        <w:shd w:val="clear" w:color="auto" w:fill="FFFFFF"/>
        <w:spacing w:before="120"/>
        <w:ind w:firstLine="720"/>
        <w:jc w:val="both"/>
        <w:rPr>
          <w:color w:val="000000"/>
          <w:shd w:val="clear" w:color="auto" w:fill="FFFFFF"/>
        </w:rPr>
      </w:pPr>
      <w:r>
        <w:rPr>
          <w:color w:val="000000"/>
          <w:shd w:val="clear" w:color="auto" w:fill="FFFFFF"/>
        </w:rPr>
        <w:t>- C</w:t>
      </w:r>
      <w:r>
        <w:t xml:space="preserve">hỉ thị số 52-CT/TW ngày 03/10/2025 của Ban Bí thư về thực hiện bảo hiểm y tế toàn </w:t>
      </w:r>
      <w:r>
        <w:t>dân trong giai đoạn mới;</w:t>
      </w:r>
    </w:p>
    <w:p w:rsidR="00187F1C" w:rsidRDefault="00422858">
      <w:pPr>
        <w:shd w:val="clear" w:color="auto" w:fill="FFFFFF"/>
        <w:spacing w:before="120"/>
        <w:ind w:firstLine="720"/>
        <w:jc w:val="both"/>
        <w:rPr>
          <w:color w:val="000000"/>
          <w:shd w:val="clear" w:color="auto" w:fill="FFFFFF"/>
        </w:rPr>
      </w:pPr>
      <w:r>
        <w:rPr>
          <w:color w:val="000000"/>
          <w:shd w:val="clear" w:color="auto" w:fill="FFFFFF"/>
        </w:rPr>
        <w:t>- Nghị quyết số 47/NQ-HĐND ngày 27/5/2026 của HĐND tỉnh Thanh Hóa về việc thông qua Đề án phát triển ngành y tế tỉnh Thanh Hóa giai đoạn 2026-2030, định hướng đến năm 2035.</w:t>
      </w:r>
    </w:p>
    <w:p w:rsidR="00187F1C" w:rsidRDefault="00422858">
      <w:pPr>
        <w:shd w:val="clear" w:color="auto" w:fill="FFFFFF"/>
        <w:spacing w:before="120"/>
        <w:ind w:firstLine="720"/>
        <w:jc w:val="both"/>
        <w:rPr>
          <w:color w:val="000000"/>
          <w:shd w:val="clear" w:color="auto" w:fill="FFFFFF"/>
        </w:rPr>
      </w:pPr>
      <w:r>
        <w:t>- Chương trình hành động số 04-CT/TU ngày 04/11/2025 của B</w:t>
      </w:r>
      <w:r>
        <w:t xml:space="preserve">an Thường vụ Tỉnh ủy về thực hiện Nghị quyết số 72-NQ/TW ngày 09/9/2025 của </w:t>
      </w:r>
      <w:r>
        <w:lastRenderedPageBreak/>
        <w:t>Bộ Chính trị về một số giải pháp đột phá, tăng cường bảo vệ, chăm sóc và nâng cao sức khỏe Nhân dân.</w:t>
      </w:r>
    </w:p>
    <w:p w:rsidR="00187F1C" w:rsidRDefault="00422858">
      <w:pPr>
        <w:shd w:val="clear" w:color="auto" w:fill="FFFFFF"/>
        <w:spacing w:before="120"/>
        <w:ind w:firstLine="720"/>
        <w:jc w:val="both"/>
        <w:rPr>
          <w:b/>
          <w:bCs/>
          <w:color w:val="000000"/>
          <w:shd w:val="clear" w:color="auto" w:fill="FFFFFF"/>
        </w:rPr>
      </w:pPr>
      <w:r>
        <w:rPr>
          <w:b/>
          <w:bCs/>
          <w:color w:val="000000"/>
          <w:shd w:val="clear" w:color="auto" w:fill="FFFFFF"/>
        </w:rPr>
        <w:t>2. Cơ sở pháp lý</w:t>
      </w:r>
    </w:p>
    <w:p w:rsidR="00187F1C" w:rsidRDefault="00422858">
      <w:pPr>
        <w:shd w:val="clear" w:color="auto" w:fill="FFFFFF"/>
        <w:spacing w:before="120"/>
        <w:ind w:firstLine="720"/>
        <w:jc w:val="both"/>
        <w:rPr>
          <w:color w:val="000000"/>
        </w:rPr>
      </w:pPr>
      <w:r>
        <w:rPr>
          <w:color w:val="000000"/>
        </w:rPr>
        <w:t>- Luật Người cao tuổi ngày 23/11/2009;</w:t>
      </w:r>
    </w:p>
    <w:p w:rsidR="00187F1C" w:rsidRDefault="00422858">
      <w:pPr>
        <w:spacing w:before="120"/>
        <w:ind w:firstLine="720"/>
        <w:jc w:val="both"/>
        <w:rPr>
          <w:i/>
          <w:color w:val="000000"/>
        </w:rPr>
      </w:pPr>
      <w:r>
        <w:rPr>
          <w:color w:val="000000"/>
        </w:rPr>
        <w:t>- Căn cứ điểm c và điểm</w:t>
      </w:r>
      <w:r>
        <w:rPr>
          <w:color w:val="000000"/>
        </w:rPr>
        <w:t xml:space="preserve"> d khoản 1 Điều 15 Luật Tổ chức chính quyền địa phương ngày 16/6/2025 quy định HĐND tỉnh có nhiệm vụ, quyền hạn: </w:t>
      </w:r>
      <w:r>
        <w:rPr>
          <w:i/>
          <w:color w:val="000000"/>
        </w:rPr>
        <w:t>“Quyết định các chế độ chi ngân sách đối với một số nhiệm vụ chi có tính chất đặc thù ở địa phương theo quy định của Luật Ngân sách nhà nước; B</w:t>
      </w:r>
      <w:r>
        <w:rPr>
          <w:i/>
          <w:color w:val="000000"/>
        </w:rPr>
        <w:t>an hành Nghị quyết về những vấn đề thuộc nhiệm vụ, quyền hạn của Hội đồng nhân dân cấp mình”.</w:t>
      </w:r>
    </w:p>
    <w:p w:rsidR="00187F1C" w:rsidRDefault="00422858">
      <w:pPr>
        <w:spacing w:before="120"/>
        <w:ind w:firstLine="720"/>
        <w:jc w:val="both"/>
        <w:rPr>
          <w:i/>
          <w:color w:val="000000"/>
        </w:rPr>
      </w:pPr>
      <w:r>
        <w:rPr>
          <w:i/>
          <w:color w:val="000000"/>
        </w:rPr>
        <w:t xml:space="preserve">- </w:t>
      </w:r>
      <w:r>
        <w:rPr>
          <w:color w:val="000000"/>
        </w:rPr>
        <w:t xml:space="preserve">Căn cứ điểm l khoản 9 Điều 31 Luật Ngân sách nhà nước số 89/2025/QH15 ngày 25/6/2025 về nhiệm vụ, quyền hạn của HĐND cấp tỉnh: </w:t>
      </w:r>
      <w:r>
        <w:rPr>
          <w:i/>
          <w:color w:val="000000"/>
        </w:rPr>
        <w:t>“Quyết định các chế độ chi ngân s</w:t>
      </w:r>
      <w:r>
        <w:rPr>
          <w:i/>
          <w:color w:val="000000"/>
        </w:rPr>
        <w:t>ách để thực hiện nhiệm vụ phát triển kinh tế - xã hội, an sinh xã hội, bảo đảm trật tự, an toàn xã hội trên địa bàn, phù hợp với tình hình thực tế và khả năng cân đối của ngân sách địa phương”;</w:t>
      </w:r>
    </w:p>
    <w:p w:rsidR="00187F1C" w:rsidRDefault="00422858">
      <w:pPr>
        <w:spacing w:before="120"/>
        <w:ind w:firstLine="720"/>
        <w:jc w:val="both"/>
        <w:rPr>
          <w:i/>
          <w:color w:val="000000"/>
        </w:rPr>
      </w:pPr>
      <w:r>
        <w:rPr>
          <w:color w:val="000000"/>
        </w:rPr>
        <w:t>- Căn cứ khoản 5 Điều 57 Luật Dân số ngày 10/12/2025 quy định:</w:t>
      </w:r>
      <w:r>
        <w:rPr>
          <w:i/>
          <w:color w:val="000000"/>
        </w:rPr>
        <w:t xml:space="preserve"> “Chính quyền địa phương, trong phạm vi nhiệm vụ, quyền hạn của mình hoặc theo phân cấp, thực hiện quản lý nhà nước về dân số. Chính quyền địa phương cấp tỉnh quyết định việc hỗ trợ kinh phí mua thẻ bảo hiểm y tế cho người cao tuổi chưa có thẻ bảo hiểm y t</w:t>
      </w:r>
      <w:r>
        <w:rPr>
          <w:i/>
          <w:color w:val="000000"/>
        </w:rPr>
        <w:t xml:space="preserve">ế căn cứ vào điều kiện kinh tế - xã hội và khả năng cân đối ngân sách của địa phương”; </w:t>
      </w:r>
    </w:p>
    <w:p w:rsidR="00187F1C" w:rsidRDefault="00422858">
      <w:pPr>
        <w:shd w:val="clear" w:color="auto" w:fill="FFFFFF"/>
        <w:spacing w:before="120"/>
        <w:ind w:firstLine="720"/>
        <w:jc w:val="both"/>
        <w:rPr>
          <w:color w:val="000000"/>
        </w:rPr>
      </w:pPr>
      <w:r>
        <w:rPr>
          <w:color w:val="000000"/>
        </w:rPr>
        <w:t xml:space="preserve">- Căn cứ Nghị định số 06/2011/NĐ-CP ngày 14/01/2011 của Chính phủ quy định chi tiết và hướng dẫn thi hành một số điều của Luật Người cao tuổi; </w:t>
      </w:r>
    </w:p>
    <w:p w:rsidR="00187F1C" w:rsidRDefault="00422858">
      <w:pPr>
        <w:spacing w:before="120"/>
        <w:ind w:firstLine="720"/>
        <w:jc w:val="both"/>
        <w:rPr>
          <w:iCs/>
          <w:color w:val="000000"/>
        </w:rPr>
      </w:pPr>
      <w:r>
        <w:rPr>
          <w:iCs/>
          <w:color w:val="000000"/>
        </w:rPr>
        <w:t>- Căn cứ Nghị định số 17</w:t>
      </w:r>
      <w:r>
        <w:rPr>
          <w:iCs/>
          <w:color w:val="000000"/>
        </w:rPr>
        <w:t>6/2025/NĐ-CP ngày 30/6/2025 của Chính phủ Quy định chi tiết và hướng dẫn thi hành một số điều của Luật Bảo hiểm xã hội về trợ cấp hưu trí xã hội;</w:t>
      </w:r>
    </w:p>
    <w:p w:rsidR="00187F1C" w:rsidRDefault="00422858">
      <w:pPr>
        <w:shd w:val="clear" w:color="auto" w:fill="FFFFFF"/>
        <w:spacing w:before="120"/>
        <w:ind w:firstLine="720"/>
        <w:jc w:val="both"/>
        <w:rPr>
          <w:i/>
          <w:color w:val="000000"/>
          <w:shd w:val="clear" w:color="auto" w:fill="FFFFFF"/>
        </w:rPr>
      </w:pPr>
      <w:bookmarkStart w:id="3" w:name="diem_e_10_71"/>
      <w:r>
        <w:rPr>
          <w:color w:val="000000"/>
          <w:shd w:val="clear" w:color="auto" w:fill="FFFFFF"/>
        </w:rPr>
        <w:t xml:space="preserve">- Căn cứ điểm e khoản 10 Điều 71 Nghị định số 188/2025/NĐ-CP ngày </w:t>
      </w:r>
      <w:bookmarkStart w:id="4" w:name="loai_1_name"/>
      <w:r>
        <w:rPr>
          <w:color w:val="000000"/>
          <w:shd w:val="clear" w:color="auto" w:fill="FFFFFF"/>
        </w:rPr>
        <w:t>01/7/2025 của Chính phủ quy định chi tiết và</w:t>
      </w:r>
      <w:r>
        <w:rPr>
          <w:color w:val="000000"/>
          <w:shd w:val="clear" w:color="auto" w:fill="FFFFFF"/>
        </w:rPr>
        <w:t xml:space="preserve"> hướng dẫn thi hành một số điều của Luật Bảo hiểm y tế quy định: </w:t>
      </w:r>
      <w:bookmarkEnd w:id="4"/>
      <w:r>
        <w:rPr>
          <w:i/>
          <w:color w:val="000000"/>
          <w:shd w:val="clear" w:color="auto" w:fill="FFFFFF"/>
        </w:rPr>
        <w:t>“Căn cứ khả năng ngân sách của địa phương và các nguồn kinh phí hợp pháp khác trình Hội đồng nhân dân tỉnh, thành phố trực thuộc Trung ương quyết định ….</w:t>
      </w:r>
      <w:bookmarkStart w:id="5" w:name="diem_e_10_71_name"/>
      <w:bookmarkEnd w:id="3"/>
      <w:r>
        <w:rPr>
          <w:i/>
          <w:color w:val="000000"/>
          <w:shd w:val="clear" w:color="auto" w:fill="FFFFFF"/>
        </w:rPr>
        <w:t xml:space="preserve">mức hỗ trợ đóng bảo hiểm y tế cho các </w:t>
      </w:r>
      <w:r>
        <w:rPr>
          <w:i/>
          <w:color w:val="000000"/>
          <w:shd w:val="clear" w:color="auto" w:fill="FFFFFF"/>
        </w:rPr>
        <w:t xml:space="preserve">đối tượng không được hưởng mức hỗ trợ quy định tại </w:t>
      </w:r>
      <w:bookmarkEnd w:id="5"/>
      <w:r>
        <w:rPr>
          <w:i/>
          <w:color w:val="000000"/>
          <w:shd w:val="clear" w:color="auto" w:fill="FFFFFF"/>
        </w:rPr>
        <w:t>Nghị định này”;</w:t>
      </w:r>
    </w:p>
    <w:p w:rsidR="00187F1C" w:rsidRDefault="00422858">
      <w:pPr>
        <w:shd w:val="clear" w:color="auto" w:fill="FFFFFF"/>
        <w:spacing w:before="120"/>
        <w:ind w:firstLine="720"/>
        <w:jc w:val="both"/>
        <w:rPr>
          <w:color w:val="333333"/>
          <w:shd w:val="clear" w:color="auto" w:fill="FFFFFF"/>
        </w:rPr>
      </w:pPr>
      <w:r>
        <w:rPr>
          <w:color w:val="000000"/>
          <w:shd w:val="clear" w:color="auto" w:fill="FFFFFF"/>
        </w:rPr>
        <w:t>- Căn cứ Quyết định số 383/QĐ-TTg ngày 21/02/2025 của Chính phủ phê duyệt Chiến lược quốc gia về người cao tuổi đến năm 2035, tầm nhìn đến năm 2045 trong đó quy định mục tiêu cụ thế giai đo</w:t>
      </w:r>
      <w:r>
        <w:rPr>
          <w:color w:val="000000"/>
          <w:shd w:val="clear" w:color="auto" w:fill="FFFFFF"/>
        </w:rPr>
        <w:t>ạn 2025-2030 là</w:t>
      </w:r>
      <w:r>
        <w:rPr>
          <w:color w:val="333333"/>
          <w:shd w:val="clear" w:color="auto" w:fill="FFFFFF"/>
        </w:rPr>
        <w:t xml:space="preserve"> 100 % người cao tuổi có thẻ bảo hiểm y tế. </w:t>
      </w:r>
    </w:p>
    <w:p w:rsidR="00187F1C" w:rsidRDefault="00422858">
      <w:pPr>
        <w:shd w:val="clear" w:color="auto" w:fill="FFFFFF"/>
        <w:spacing w:before="120"/>
        <w:ind w:firstLine="720"/>
        <w:jc w:val="both"/>
        <w:rPr>
          <w:b/>
          <w:bCs/>
        </w:rPr>
      </w:pPr>
      <w:r>
        <w:rPr>
          <w:b/>
          <w:bCs/>
        </w:rPr>
        <w:t>3. Cơ sở thực tiễn</w:t>
      </w:r>
    </w:p>
    <w:p w:rsidR="00187F1C" w:rsidRDefault="00422858">
      <w:pPr>
        <w:spacing w:before="120"/>
        <w:ind w:firstLine="720"/>
        <w:jc w:val="both"/>
        <w:rPr>
          <w:rStyle w:val="fontstyle01"/>
          <w:color w:val="auto"/>
        </w:rPr>
      </w:pPr>
      <w:r>
        <w:rPr>
          <w:rStyle w:val="fontstyle01"/>
        </w:rPr>
        <w:t xml:space="preserve">Trong giai đoạn vừa qua, Chính phủ đã rất nỗ lực trong việc nâng mức trợ giúp xã hội cho người cao tuổi từ 360.000 đồng/tháng </w:t>
      </w:r>
      <w:r>
        <w:rPr>
          <w:rStyle w:val="fontstyle01"/>
          <w:i/>
          <w:iCs/>
        </w:rPr>
        <w:t>(Nghị định số 136/2013/NĐ-CP)</w:t>
      </w:r>
      <w:r>
        <w:rPr>
          <w:rStyle w:val="fontstyle01"/>
        </w:rPr>
        <w:t xml:space="preserve"> lên 540.000 đồng/tháng </w:t>
      </w:r>
      <w:r>
        <w:rPr>
          <w:rStyle w:val="fontstyle01"/>
          <w:i/>
          <w:iCs/>
        </w:rPr>
        <w:t>(Nghị định số 335/2026/NĐ-CP)</w:t>
      </w:r>
      <w:r>
        <w:rPr>
          <w:rStyle w:val="fontstyle01"/>
        </w:rPr>
        <w:t xml:space="preserve">  đồng thời hạ độ tuổi hưởng chính sách trợ giúp xã hội/hưu trí xã hội từ 80 tuổi xuống 75 tuổi và 70 tuổi cho người cao tuổi hộ nghèo/cận nghèo đã cơ bản từng </w:t>
      </w:r>
      <w:r>
        <w:rPr>
          <w:rStyle w:val="fontstyle01"/>
        </w:rPr>
        <w:lastRenderedPageBreak/>
        <w:t>bước đảm bảo đời sống tối thiểu đối với ngư</w:t>
      </w:r>
      <w:r>
        <w:rPr>
          <w:rStyle w:val="fontstyle01"/>
        </w:rPr>
        <w:t xml:space="preserve">ời cao tuổi. Tuy nhiên, nhóm đối tượng người cao tuổi từ 60 tuổi đến dưới 75 tuổi không có lương hưu, không hưởng trợ cấp bảo hiểm xã hội, trợ cấp xã hội hằng tháng nhưng không thuộc hộ nghèo/cận nghèo </w:t>
      </w:r>
      <w:r>
        <w:rPr>
          <w:rStyle w:val="fontstyle01"/>
          <w:color w:val="auto"/>
        </w:rPr>
        <w:t>chưa có bất kỳ tầng an sinh nào, chưa được nhà nước hỗ</w:t>
      </w:r>
      <w:r>
        <w:rPr>
          <w:rStyle w:val="fontstyle01"/>
          <w:color w:val="auto"/>
        </w:rPr>
        <w:t xml:space="preserve"> trợ mua thẻ BHYT và tỉnh Thanh Hóa chưa ban hành chính sách đặc thù hỗ trợ đối với nhóm đối tượng này nên còn hạn chế, khó khăn trong việc tiếp cận các dịch vụ y tế và chăm sóc sức khỏe.</w:t>
      </w:r>
    </w:p>
    <w:p w:rsidR="00187F1C" w:rsidRDefault="00422858">
      <w:pPr>
        <w:spacing w:before="120"/>
        <w:ind w:firstLine="720"/>
        <w:jc w:val="both"/>
        <w:rPr>
          <w:rStyle w:val="fontstyle01"/>
        </w:rPr>
      </w:pPr>
      <w:r>
        <w:t>Thanh Hóa là tỉnh có tốc độ dân số già hóa nhanh, tỷ lệ người cao tu</w:t>
      </w:r>
      <w:r>
        <w:t>ổi lớn và phần lớn cư trú tại khu vực nông thôn, miền núi. T</w:t>
      </w:r>
      <w:r>
        <w:rPr>
          <w:rStyle w:val="fontstyle01"/>
        </w:rPr>
        <w:t>heo kết quả rà soát, khảo sát</w:t>
      </w:r>
      <w:r>
        <w:rPr>
          <w:rStyle w:val="FootnoteReference"/>
          <w:color w:val="000000"/>
        </w:rPr>
        <w:footnoteReference w:id="1"/>
      </w:r>
      <w:r>
        <w:rPr>
          <w:rStyle w:val="fontstyle01"/>
        </w:rPr>
        <w:t xml:space="preserve">, toàn tỉnh hiện có </w:t>
      </w:r>
      <w:r>
        <w:rPr>
          <w:rStyle w:val="fontstyle01"/>
          <w:b/>
          <w:bCs/>
        </w:rPr>
        <w:t>691.051</w:t>
      </w:r>
      <w:r>
        <w:rPr>
          <w:rStyle w:val="fontstyle01"/>
        </w:rPr>
        <w:t xml:space="preserve"> người cao tuổi </w:t>
      </w:r>
      <w:r>
        <w:rPr>
          <w:rStyle w:val="fontstyle01"/>
          <w:i/>
          <w:iCs/>
        </w:rPr>
        <w:t>(chiếm khoảng 17% tổng dân số),</w:t>
      </w:r>
      <w:r>
        <w:rPr>
          <w:rStyle w:val="fontstyle01"/>
        </w:rPr>
        <w:t xml:space="preserve"> trong đó: có</w:t>
      </w:r>
      <w:r>
        <w:t xml:space="preserve"> </w:t>
      </w:r>
      <w:r>
        <w:rPr>
          <w:rStyle w:val="fontstyle01"/>
          <w:b/>
          <w:bCs/>
        </w:rPr>
        <w:t>526.141</w:t>
      </w:r>
      <w:r>
        <w:rPr>
          <w:rStyle w:val="fontstyle01"/>
        </w:rPr>
        <w:t xml:space="preserve"> người cao tuổi từ đủ 60 tuổi trở lên đã có thẻ bảo hiểm y tế</w:t>
      </w:r>
      <w:r>
        <w:rPr>
          <w:rStyle w:val="FootnoteReference"/>
          <w:iCs/>
          <w:color w:val="000000"/>
        </w:rPr>
        <w:footnoteReference w:id="2"/>
      </w:r>
      <w:r>
        <w:rPr>
          <w:rStyle w:val="fontstyle01"/>
        </w:rPr>
        <w:t xml:space="preserve"> </w:t>
      </w:r>
      <w:r>
        <w:rPr>
          <w:rStyle w:val="fontstyle01"/>
          <w:i/>
        </w:rPr>
        <w:t>(đạt 73,</w:t>
      </w:r>
      <w:r>
        <w:rPr>
          <w:rStyle w:val="fontstyle01"/>
          <w:i/>
        </w:rPr>
        <w:t xml:space="preserve">1%) </w:t>
      </w:r>
      <w:r>
        <w:rPr>
          <w:rStyle w:val="fontstyle01"/>
        </w:rPr>
        <w:t xml:space="preserve">và </w:t>
      </w:r>
      <w:r>
        <w:rPr>
          <w:rStyle w:val="fontstyle01"/>
          <w:b/>
          <w:bCs/>
        </w:rPr>
        <w:t>164.910</w:t>
      </w:r>
      <w:r>
        <w:rPr>
          <w:rStyle w:val="fontstyle01"/>
        </w:rPr>
        <w:t xml:space="preserve"> người cao tuổi từ đủ 60 đến dưới 75 tuổi</w:t>
      </w:r>
      <w:r>
        <w:rPr>
          <w:rStyle w:val="FootnoteReference"/>
          <w:color w:val="000000"/>
        </w:rPr>
        <w:footnoteReference w:id="3"/>
      </w:r>
      <w:r>
        <w:rPr>
          <w:rStyle w:val="fontstyle01"/>
        </w:rPr>
        <w:t xml:space="preserve"> </w:t>
      </w:r>
      <w:r>
        <w:rPr>
          <w:rStyle w:val="fontstyle01"/>
          <w:i/>
        </w:rPr>
        <w:t xml:space="preserve">(chiếm 26,9%) </w:t>
      </w:r>
      <w:r>
        <w:rPr>
          <w:rStyle w:val="fontstyle01"/>
        </w:rPr>
        <w:t xml:space="preserve">chưa có thẻ bảo hiểm y tế </w:t>
      </w:r>
      <w:r>
        <w:rPr>
          <w:rStyle w:val="fontstyle01"/>
          <w:i/>
        </w:rPr>
        <w:t xml:space="preserve">(trong đó: có </w:t>
      </w:r>
      <w:r>
        <w:rPr>
          <w:rStyle w:val="fontstyle01"/>
          <w:b/>
          <w:bCs/>
          <w:i/>
        </w:rPr>
        <w:t>120.419</w:t>
      </w:r>
      <w:r>
        <w:rPr>
          <w:rStyle w:val="fontstyle01"/>
          <w:i/>
        </w:rPr>
        <w:t xml:space="preserve"> đối tượng người cao tuổi từ đủ 60 đến dưới 75 tuổi không thuộc diện được ngân sách nhà nước hỗ trợ mức đóng BHYT và </w:t>
      </w:r>
      <w:r>
        <w:rPr>
          <w:rStyle w:val="fontstyle01"/>
          <w:b/>
          <w:bCs/>
          <w:i/>
        </w:rPr>
        <w:t>44.491</w:t>
      </w:r>
      <w:r>
        <w:rPr>
          <w:rStyle w:val="fontstyle01"/>
          <w:i/>
        </w:rPr>
        <w:t xml:space="preserve"> đối tượng ngườ</w:t>
      </w:r>
      <w:r>
        <w:rPr>
          <w:rStyle w:val="fontstyle01"/>
          <w:i/>
        </w:rPr>
        <w:t xml:space="preserve">i cao tuổi từ đủ 60 tuổi đến dưới 75 tuổi thuộc hộ gia đình nông, lâm, ngư, diêm nghiệp đã được nhà nước hỗ trợ 30% mức đóng BHYT </w:t>
      </w:r>
      <w:r>
        <w:rPr>
          <w:rStyle w:val="FootnoteReference"/>
          <w:i/>
          <w:iCs/>
          <w:color w:val="000000"/>
        </w:rPr>
        <w:footnoteReference w:id="4"/>
      </w:r>
      <w:r>
        <w:rPr>
          <w:rStyle w:val="fontstyle01"/>
          <w:i/>
          <w:iCs/>
        </w:rPr>
        <w:t xml:space="preserve"> </w:t>
      </w:r>
      <w:r>
        <w:rPr>
          <w:rStyle w:val="fontstyle01"/>
          <w:i/>
        </w:rPr>
        <w:t xml:space="preserve">nhưng không có điều kiện mua thẻ bảo hiểm y tế). </w:t>
      </w:r>
      <w:r>
        <w:rPr>
          <w:rStyle w:val="fontstyle01"/>
          <w:color w:val="auto"/>
        </w:rPr>
        <w:t>Theo khảo sát thực tế thì đối tượng người cao tuổi từ đủ 60 tuổi đến dưới 7</w:t>
      </w:r>
      <w:r>
        <w:rPr>
          <w:rStyle w:val="fontstyle01"/>
          <w:color w:val="auto"/>
        </w:rPr>
        <w:t>5 tuổi chưa có thẻ bảo hiểm y tế là đối tượng không có lương hưu, trợ cấp BHXH, trợ cấp hưu trí xã hội, trợ cấp bảo trợ xã hội hằng tháng khác do đó không thuộc diện được ngân sách nhà nước đóng hoặc hỗ trợ mức đóng bảo hiểm y tế theo quy định tại khoản 10</w:t>
      </w:r>
      <w:r>
        <w:rPr>
          <w:rStyle w:val="fontstyle01"/>
          <w:color w:val="auto"/>
        </w:rPr>
        <w:t xml:space="preserve"> Điều 11 Luật Bảo hiểm xã hội sửa đổi năm 2024 hoặc được hỗ trợ mức đóng nhưng ở mức thấp (30%); không có nhập ổn định, đời sống kinh tế xã hội gặp nhiều khó khăn nên chưa có điều kiện tham gia bảo hiểm y tế do vậy bị hạn chế trong việc tiếp cận các dịch v</w:t>
      </w:r>
      <w:r>
        <w:rPr>
          <w:rStyle w:val="fontstyle01"/>
          <w:color w:val="auto"/>
        </w:rPr>
        <w:t>ụ y tế, chăm sóc sức khỏe trong khi đó nguy cơ mắc bệnh cao, nhu cầu khám chữa bệnh lớn đã gia tăng gánh nặng chi phí cho bản thân, gia đình.</w:t>
      </w:r>
    </w:p>
    <w:p w:rsidR="00187F1C" w:rsidRDefault="00422858">
      <w:pPr>
        <w:spacing w:before="120"/>
        <w:ind w:firstLine="720"/>
        <w:jc w:val="both"/>
      </w:pPr>
      <w:r>
        <w:rPr>
          <w:rStyle w:val="fontstyle01"/>
          <w:color w:val="auto"/>
        </w:rPr>
        <w:t>Để đảm bảo mục tiêu nâng cao tỷ lệ bao phủ bảo hiểm y tế toàn dân trên địa bàn tỉnh đến năm 2030 đạt 95% trở lên</w:t>
      </w:r>
      <w:r>
        <w:rPr>
          <w:rStyle w:val="FootnoteReference"/>
        </w:rPr>
        <w:footnoteReference w:id="5"/>
      </w:r>
      <w:r>
        <w:rPr>
          <w:rStyle w:val="fontstyle01"/>
          <w:color w:val="auto"/>
        </w:rPr>
        <w:t xml:space="preserve"> </w:t>
      </w:r>
      <w:r>
        <w:rPr>
          <w:rStyle w:val="fontstyle01"/>
          <w:i/>
          <w:color w:val="auto"/>
        </w:rPr>
        <w:t xml:space="preserve">(trong đó mục tiêu 100% người cao tuổi có bảo hiểm y tế) </w:t>
      </w:r>
      <w:r>
        <w:rPr>
          <w:rStyle w:val="fontstyle01"/>
          <w:color w:val="auto"/>
        </w:rPr>
        <w:t>và hỗ trợ người cao tuổi tiếp cận chăm sóc sức khỏe người cao tuổi một cách toàn diện, góp phần tăng tuổi thọ sống khỏe và xây dựng nền tảng an sinh xã hội vững mạnh trên địa bàn tỉnh. Việc đề xuất c</w:t>
      </w:r>
      <w:r>
        <w:rPr>
          <w:rStyle w:val="fontstyle01"/>
          <w:color w:val="auto"/>
        </w:rPr>
        <w:t xml:space="preserve">hính sách hỗ trợ kinh phí mua thẻ bảo hiểm y tế cho người cao tuổi từ đủ 60 tuổi đến dưới 75 tuổi </w:t>
      </w:r>
      <w:r>
        <w:rPr>
          <w:rStyle w:val="fontstyle01"/>
          <w:color w:val="auto"/>
        </w:rPr>
        <w:lastRenderedPageBreak/>
        <w:t xml:space="preserve">chưa có thẻ bảo hiểm y tế trên địa bàn tỉnh Thanh Hóa là cần thiết, phù hợp với tình hình phát triển kinh tế - xã hội và chỉ đạo </w:t>
      </w:r>
      <w:r>
        <w:rPr>
          <w:lang w:val="vi-VN"/>
        </w:rPr>
        <w:t>của Bộ Chính trị tại Nghị quy</w:t>
      </w:r>
      <w:r>
        <w:rPr>
          <w:lang w:val="vi-VN"/>
        </w:rPr>
        <w:t xml:space="preserve">ết số 72-NQ/TW ngày 09/9/2025 của Bộ Chính trị về một số giải pháp đột phá, tăng cường bảo vệ, chăm sóc và nâng cao sức khỏe </w:t>
      </w:r>
      <w:r>
        <w:t>N</w:t>
      </w:r>
      <w:r>
        <w:rPr>
          <w:lang w:val="vi-VN"/>
        </w:rPr>
        <w:t>hân dân</w:t>
      </w:r>
      <w:r>
        <w:t>.</w:t>
      </w:r>
    </w:p>
    <w:p w:rsidR="00187F1C" w:rsidRDefault="00422858">
      <w:pPr>
        <w:spacing w:before="120"/>
        <w:ind w:firstLine="720"/>
        <w:jc w:val="both"/>
        <w:rPr>
          <w:b/>
          <w:color w:val="000000"/>
          <w:spacing w:val="-4"/>
          <w:lang w:val="vi-VN"/>
        </w:rPr>
      </w:pPr>
      <w:r>
        <w:rPr>
          <w:b/>
          <w:color w:val="000000"/>
          <w:spacing w:val="-4"/>
          <w:lang w:val="vi-VN"/>
        </w:rPr>
        <w:t>II. MỤC ĐÍCH, QUAN ĐIỂM XÂY DỰNG DỰ THẢO NGHỊ QUYẾT</w:t>
      </w:r>
    </w:p>
    <w:p w:rsidR="00187F1C" w:rsidRDefault="00422858">
      <w:pPr>
        <w:spacing w:before="120"/>
        <w:ind w:firstLine="720"/>
        <w:jc w:val="both"/>
        <w:rPr>
          <w:b/>
          <w:bCs/>
          <w:color w:val="000000"/>
          <w:lang w:val="vi-VN"/>
        </w:rPr>
      </w:pPr>
      <w:r>
        <w:rPr>
          <w:b/>
          <w:bCs/>
          <w:color w:val="000000"/>
        </w:rPr>
        <w:t xml:space="preserve">1. </w:t>
      </w:r>
      <w:r>
        <w:rPr>
          <w:b/>
          <w:bCs/>
          <w:color w:val="000000"/>
          <w:lang w:val="vi-VN"/>
        </w:rPr>
        <w:t>Mục đích ban hành Nghị quyết</w:t>
      </w:r>
    </w:p>
    <w:p w:rsidR="00187F1C" w:rsidRDefault="00422858">
      <w:pPr>
        <w:spacing w:before="120"/>
        <w:ind w:firstLine="720"/>
        <w:jc w:val="both"/>
        <w:rPr>
          <w:bCs/>
          <w:color w:val="000000"/>
        </w:rPr>
      </w:pPr>
      <w:r>
        <w:rPr>
          <w:bCs/>
          <w:color w:val="000000"/>
          <w:lang w:val="vi-VN"/>
        </w:rPr>
        <w:t xml:space="preserve">Hội đồng nhân dân tỉnh ban hành Nghị quyết </w:t>
      </w:r>
      <w:r>
        <w:t xml:space="preserve">quy định chính sách hỗ trợ kinh phí mua thẻ bảo hiểm y tế đối với người cao tuổi </w:t>
      </w:r>
      <w:r>
        <w:rPr>
          <w:lang w:val="vi-VN"/>
        </w:rPr>
        <w:t>trên địa bàn tỉnh Thanh Hóa</w:t>
      </w:r>
      <w:r>
        <w:t xml:space="preserve"> </w:t>
      </w:r>
      <w:r>
        <w:rPr>
          <w:lang w:val="vi-VN"/>
        </w:rPr>
        <w:t>n</w:t>
      </w:r>
      <w:r>
        <w:rPr>
          <w:bCs/>
          <w:color w:val="000000"/>
          <w:lang w:val="vi-VN"/>
        </w:rPr>
        <w:t>hằm cụ thể hóa chủ trương, chính sách của Đảng, pháp luật của Nhà nước về bảo vệ, chăm sóc người cao tu</w:t>
      </w:r>
      <w:r>
        <w:rPr>
          <w:bCs/>
          <w:color w:val="000000"/>
          <w:lang w:val="vi-VN"/>
        </w:rPr>
        <w:t xml:space="preserve">ổi; kịp thời hỗ trợ </w:t>
      </w:r>
      <w:r>
        <w:rPr>
          <w:bCs/>
          <w:color w:val="000000"/>
        </w:rPr>
        <w:t xml:space="preserve">đối tượng người cao tuổi chưa đươc nhà nước hỗ trợ đóng bảo hiểm y tế hoặc được hỗ trợ nhưng ở mức độ thấp nên chưa có điều kiện tham gia bảo hiểm y tế </w:t>
      </w:r>
      <w:r>
        <w:rPr>
          <w:bCs/>
          <w:color w:val="000000"/>
          <w:lang w:val="vi-VN"/>
        </w:rPr>
        <w:t xml:space="preserve">được thụ hưởng chính sách </w:t>
      </w:r>
      <w:r>
        <w:rPr>
          <w:bCs/>
          <w:color w:val="000000"/>
        </w:rPr>
        <w:t>hỗ trợ kinh phí mua thẻ bảo hiểm y tế để chăm sóc sức khỏe</w:t>
      </w:r>
      <w:r>
        <w:rPr>
          <w:bCs/>
          <w:color w:val="000000"/>
        </w:rPr>
        <w:t xml:space="preserve"> người cao tuổi một cách toàn diện,</w:t>
      </w:r>
      <w:r>
        <w:rPr>
          <w:bCs/>
          <w:color w:val="000000"/>
          <w:lang w:val="vi-VN"/>
        </w:rPr>
        <w:t xml:space="preserve"> góp phần </w:t>
      </w:r>
      <w:r>
        <w:rPr>
          <w:bCs/>
          <w:color w:val="000000"/>
        </w:rPr>
        <w:t xml:space="preserve">nâng cao tỷ lệ bao phủ bảo hiểm y tế, </w:t>
      </w:r>
      <w:r>
        <w:rPr>
          <w:bCs/>
          <w:color w:val="000000"/>
          <w:lang w:val="vi-VN"/>
        </w:rPr>
        <w:t>bảo đảm an sinh xã hội</w:t>
      </w:r>
      <w:r>
        <w:rPr>
          <w:bCs/>
          <w:color w:val="000000"/>
        </w:rPr>
        <w:t xml:space="preserve"> </w:t>
      </w:r>
      <w:r>
        <w:rPr>
          <w:bCs/>
          <w:color w:val="000000"/>
          <w:lang w:val="vi-VN"/>
        </w:rPr>
        <w:t>trên địa bàn tỉnh.</w:t>
      </w:r>
    </w:p>
    <w:p w:rsidR="00187F1C" w:rsidRDefault="00422858">
      <w:pPr>
        <w:spacing w:before="120"/>
        <w:ind w:firstLine="720"/>
        <w:jc w:val="both"/>
        <w:rPr>
          <w:b/>
          <w:bCs/>
          <w:color w:val="000000"/>
          <w:lang w:val="vi-VN"/>
        </w:rPr>
      </w:pPr>
      <w:r>
        <w:rPr>
          <w:b/>
          <w:bCs/>
          <w:color w:val="000000"/>
          <w:lang w:val="vi-VN"/>
        </w:rPr>
        <w:t>2. Quan điểm xây dựng dự thảo Nghị quyết</w:t>
      </w:r>
    </w:p>
    <w:p w:rsidR="00187F1C" w:rsidRDefault="00422858">
      <w:pPr>
        <w:shd w:val="clear" w:color="auto" w:fill="FFFFFF"/>
        <w:spacing w:before="120"/>
        <w:ind w:firstLine="720"/>
        <w:jc w:val="both"/>
        <w:textAlignment w:val="baseline"/>
        <w:rPr>
          <w:bCs/>
          <w:color w:val="000000"/>
          <w:lang w:val="vi-VN"/>
        </w:rPr>
      </w:pPr>
      <w:r>
        <w:rPr>
          <w:bCs/>
          <w:color w:val="000000"/>
          <w:lang w:val="vi-VN"/>
        </w:rPr>
        <w:t xml:space="preserve">- Việc xây dựng và ban hành Nghị quyết đảm bảo tính hợp hiến, hợp pháp, đúng quy định của </w:t>
      </w:r>
      <w:r>
        <w:rPr>
          <w:bCs/>
          <w:color w:val="000000"/>
          <w:lang w:val="vi-VN"/>
        </w:rPr>
        <w:t xml:space="preserve">Luật Ngân sách nhà nước, Luật Ban hành văn bản quy phạm pháp luật và các quy định của pháp luật khác có liên quan. </w:t>
      </w:r>
    </w:p>
    <w:p w:rsidR="00187F1C" w:rsidRDefault="00422858">
      <w:pPr>
        <w:spacing w:before="120"/>
        <w:ind w:firstLine="720"/>
        <w:jc w:val="both"/>
        <w:rPr>
          <w:bCs/>
          <w:color w:val="000000"/>
          <w:lang w:val="vi-VN"/>
        </w:rPr>
      </w:pPr>
      <w:r>
        <w:rPr>
          <w:bCs/>
          <w:color w:val="000000"/>
          <w:lang w:val="vi-VN"/>
        </w:rPr>
        <w:t>- Việc ban hành Nghị quyết chính sách quy định phù hợp với tình hình thực tế của địa phương, đúng đối tượng, công bằng, công khai, minh bạch</w:t>
      </w:r>
      <w:r>
        <w:rPr>
          <w:bCs/>
          <w:color w:val="000000"/>
          <w:lang w:val="vi-VN"/>
        </w:rPr>
        <w:t>; không trùng lặp với chính sách hiện hành của Trung ương, bảo đảm khả năng cân đối ngân sách địa phương, thực hiện hiệu quả mục tiêu an sinh xã hội và chăm sóc sức khỏe người cao tuổi trên địa bàn tỉnh.</w:t>
      </w:r>
    </w:p>
    <w:p w:rsidR="00187F1C" w:rsidRDefault="00422858">
      <w:pPr>
        <w:spacing w:before="120"/>
        <w:ind w:firstLine="720"/>
        <w:jc w:val="both"/>
        <w:rPr>
          <w:b/>
          <w:bCs/>
          <w:color w:val="000000"/>
        </w:rPr>
      </w:pPr>
      <w:r>
        <w:rPr>
          <w:b/>
          <w:bCs/>
          <w:color w:val="000000"/>
        </w:rPr>
        <w:t>III. QUÁ TRÌNH XÂY DỰNG DỰ THẢO NGHỊ QUYẾT</w:t>
      </w:r>
    </w:p>
    <w:p w:rsidR="00187F1C" w:rsidRDefault="00422858">
      <w:pPr>
        <w:spacing w:before="120"/>
        <w:ind w:firstLine="720"/>
        <w:jc w:val="both"/>
        <w:rPr>
          <w:bCs/>
        </w:rPr>
      </w:pPr>
      <w:r>
        <w:rPr>
          <w:bCs/>
        </w:rPr>
        <w:t xml:space="preserve">- Căn cứ </w:t>
      </w:r>
      <w:r>
        <w:rPr>
          <w:bCs/>
        </w:rPr>
        <w:t>Quyết định số 1417/QĐ-HĐND ngày 15/9/2026 của Thường trực Hội đồng nhân dân tỉnh về việc điều chỉnh một số nội dung của danh mục ban hành kèm theo Quyết định số 929/QĐ-HĐND ngày 03/6/2026 của Thường trực Hội đồng nhân dân tỉnh, UBND tỉnh đã chỉ đạo Sở Y tế</w:t>
      </w:r>
      <w:r>
        <w:rPr>
          <w:bCs/>
        </w:rPr>
        <w:t xml:space="preserve"> chủ trì phối hợp với Sở Tư pháp, Sở Tài chính, Sở Nội vụ, Bảo hiểm xã hội tỉnh và các đơn vị, địa phương có liên quan tham mưu, dự thảo hồ sơ Nghị quyết quy định chính sách hỗ trợ kinh phí mua thẻ bảo hiểm y tế đối với người cao tuổi </w:t>
      </w:r>
      <w:r>
        <w:rPr>
          <w:bCs/>
          <w:lang w:val="vi-VN"/>
        </w:rPr>
        <w:t>trên địa bàn tỉnh Tha</w:t>
      </w:r>
      <w:r>
        <w:rPr>
          <w:bCs/>
          <w:lang w:val="vi-VN"/>
        </w:rPr>
        <w:t>nh Hóa</w:t>
      </w:r>
      <w:r>
        <w:rPr>
          <w:bCs/>
        </w:rPr>
        <w:t xml:space="preserve"> </w:t>
      </w:r>
      <w:r>
        <w:t>đảm bảo nội dung, trình tự theo quy</w:t>
      </w:r>
      <w:r>
        <w:rPr>
          <w:i/>
          <w:iCs/>
        </w:rPr>
        <w:t xml:space="preserve"> </w:t>
      </w:r>
      <w:r>
        <w:rPr>
          <w:iCs/>
        </w:rPr>
        <w:t>định</w:t>
      </w:r>
      <w:r>
        <w:rPr>
          <w:bCs/>
          <w:i/>
        </w:rPr>
        <w:t xml:space="preserve"> (Thông báo số 442/TB-UBND ngày 11/9/2026 về việc Thông báo kết luận của Chủ tịch UBND tỉnh);</w:t>
      </w:r>
    </w:p>
    <w:p w:rsidR="00187F1C" w:rsidRDefault="00422858">
      <w:pPr>
        <w:spacing w:before="120"/>
        <w:ind w:firstLine="720"/>
        <w:jc w:val="both"/>
        <w:rPr>
          <w:bCs/>
          <w:i/>
        </w:rPr>
      </w:pPr>
      <w:r>
        <w:rPr>
          <w:bCs/>
        </w:rPr>
        <w:t>- Căn cứ ý kiến chỉ đạo của Chủ tịch UBND tỉnh tại Thông báo số 442/TB-UBND ngày 11/9/2026 và các quy định hiện hàn</w:t>
      </w:r>
      <w:r>
        <w:rPr>
          <w:bCs/>
        </w:rPr>
        <w:t xml:space="preserve">h, Sở Y tế đã dự thảo hồ sơ Nghị quyết theo quy định gửi Sở Tài chính, Sở Nội vụ, Sở Tư pháp, Sở Khoa học và Công nghệ, các cơ quan, đơn vị, địa phương có liên quan tham gia ý kiến </w:t>
      </w:r>
      <w:r>
        <w:rPr>
          <w:bCs/>
          <w:i/>
        </w:rPr>
        <w:t xml:space="preserve">(tại Công văn số …../SYT-BTXHTE ngày …./10/2026 của Sở Y tế); </w:t>
      </w:r>
      <w:r>
        <w:rPr>
          <w:bCs/>
        </w:rPr>
        <w:t xml:space="preserve">đồng thời có </w:t>
      </w:r>
      <w:r>
        <w:rPr>
          <w:bCs/>
        </w:rPr>
        <w:t xml:space="preserve">văn bản gửi Văn phòng UBND tỉnh đăng tải nội dung hồ sơ dự thảo </w:t>
      </w:r>
      <w:r>
        <w:rPr>
          <w:bCs/>
        </w:rPr>
        <w:lastRenderedPageBreak/>
        <w:t xml:space="preserve">quyết định trên Cổng thông tin điện tử của tỉnh để lấy ý kiến tham gia của các tổ chức, cá nhân theo quy định </w:t>
      </w:r>
      <w:r>
        <w:rPr>
          <w:bCs/>
          <w:i/>
        </w:rPr>
        <w:t>(Công văn số…../SYT-BTXHTE ngày …/10/2026).</w:t>
      </w:r>
    </w:p>
    <w:p w:rsidR="00187F1C" w:rsidRDefault="00422858">
      <w:pPr>
        <w:spacing w:before="120"/>
        <w:ind w:firstLine="709"/>
        <w:jc w:val="both"/>
      </w:pPr>
      <w:r>
        <w:rPr>
          <w:bCs/>
          <w:i/>
        </w:rPr>
        <w:t xml:space="preserve">- </w:t>
      </w:r>
      <w:r>
        <w:rPr>
          <w:bCs/>
        </w:rPr>
        <w:t>Trên cơ sở ý kiến tham gia góp ý của</w:t>
      </w:r>
      <w:r>
        <w:rPr>
          <w:bCs/>
        </w:rPr>
        <w:t xml:space="preserve"> các sở, ngành, đơn vị, Sở Y tế đã tổng hợp, tiếp thu và hoàn chỉnh dự thảo gửi Sở Tư pháp thẩm định theo quy định </w:t>
      </w:r>
      <w:r>
        <w:rPr>
          <w:bCs/>
          <w:i/>
        </w:rPr>
        <w:t xml:space="preserve">(Công văn số: …../SYT-BTXHTE ngày …./10/2026), </w:t>
      </w:r>
      <w:r>
        <w:rPr>
          <w:bCs/>
        </w:rPr>
        <w:t xml:space="preserve">đồng thời đăng tải toàn bộ dự thảo Nghị quyết và bản tổng hợp ý kiến, tiếp thu, giải trình ý kiến góp ý lên Cổng thông tin điện tử của Sở Y tế để thực hiện việc </w:t>
      </w:r>
      <w:r>
        <w:t>truyền thông chính sách, theo quy đinh tại Nghị định số 187/2025/NĐ-CP ngày 01/7/2025;</w:t>
      </w:r>
    </w:p>
    <w:p w:rsidR="00187F1C" w:rsidRDefault="00422858">
      <w:pPr>
        <w:spacing w:before="120"/>
        <w:ind w:firstLine="720"/>
        <w:jc w:val="both"/>
        <w:rPr>
          <w:lang w:val="vi-VN"/>
        </w:rPr>
      </w:pPr>
      <w:r>
        <w:rPr>
          <w:bCs/>
        </w:rPr>
        <w:t>- Căn cứ</w:t>
      </w:r>
      <w:r>
        <w:rPr>
          <w:bCs/>
        </w:rPr>
        <w:t xml:space="preserve"> ý kiến thẩm định</w:t>
      </w:r>
      <w:r>
        <w:rPr>
          <w:bCs/>
          <w:color w:val="FF0000"/>
        </w:rPr>
        <w:t xml:space="preserve"> </w:t>
      </w:r>
      <w:r>
        <w:rPr>
          <w:bCs/>
        </w:rPr>
        <w:t xml:space="preserve">của Sở Tư pháp tại Văn bản số…./BCTĐ-STP ngày …./10/2026, Sở Y tế đã tiếp thu, chỉnh sửa theo nội dung thẩm định, hoàn chỉnh trình dự thảo trình UBND tỉnh </w:t>
      </w:r>
      <w:r>
        <w:rPr>
          <w:lang w:val="vi-VN"/>
        </w:rPr>
        <w:t xml:space="preserve">theo quy định </w:t>
      </w:r>
      <w:r>
        <w:rPr>
          <w:i/>
          <w:iCs/>
          <w:lang w:val="vi-VN"/>
        </w:rPr>
        <w:t>(Tờ trình số</w:t>
      </w:r>
      <w:r>
        <w:rPr>
          <w:i/>
          <w:iCs/>
        </w:rPr>
        <w:t xml:space="preserve"> …..</w:t>
      </w:r>
      <w:r>
        <w:rPr>
          <w:i/>
          <w:iCs/>
          <w:lang w:val="vi-VN"/>
        </w:rPr>
        <w:t>/TTr-SYT ngày</w:t>
      </w:r>
      <w:r>
        <w:rPr>
          <w:i/>
          <w:iCs/>
        </w:rPr>
        <w:t xml:space="preserve"> ….</w:t>
      </w:r>
      <w:r>
        <w:rPr>
          <w:i/>
          <w:iCs/>
          <w:lang w:val="vi-VN"/>
        </w:rPr>
        <w:t>/</w:t>
      </w:r>
      <w:r>
        <w:rPr>
          <w:i/>
          <w:iCs/>
        </w:rPr>
        <w:t>10</w:t>
      </w:r>
      <w:r>
        <w:rPr>
          <w:i/>
          <w:iCs/>
          <w:lang w:val="vi-VN"/>
        </w:rPr>
        <w:t>/202</w:t>
      </w:r>
      <w:r>
        <w:rPr>
          <w:i/>
          <w:iCs/>
        </w:rPr>
        <w:t>6 của Sở Y tế</w:t>
      </w:r>
      <w:r>
        <w:rPr>
          <w:i/>
          <w:iCs/>
          <w:lang w:val="vi-VN"/>
        </w:rPr>
        <w:t>)</w:t>
      </w:r>
      <w:r>
        <w:rPr>
          <w:i/>
          <w:iCs/>
        </w:rPr>
        <w:t>.</w:t>
      </w:r>
    </w:p>
    <w:p w:rsidR="00187F1C" w:rsidRDefault="00422858">
      <w:pPr>
        <w:spacing w:before="120"/>
        <w:jc w:val="both"/>
      </w:pPr>
      <w:r>
        <w:rPr>
          <w:i/>
          <w:iCs/>
          <w:lang w:val="vi-VN"/>
        </w:rPr>
        <w:tab/>
      </w:r>
      <w:r>
        <w:t>- Ngày …./10/</w:t>
      </w:r>
      <w:r>
        <w:t xml:space="preserve">2026, tại Phiên họp Thường kỳ UBND tỉnh tháng 11, các Ủy viên UBND tỉnh đã biểu quyết thống nhất việc trình HĐND tỉnh ban hành </w:t>
      </w:r>
      <w:bookmarkStart w:id="6" w:name="_Hlk241407043"/>
      <w:r>
        <w:t xml:space="preserve">Nghị quyết quy định chính sách hỗ trợ kinh phí mua thẻ bảo hiểm y tế đối với người cao tuổi </w:t>
      </w:r>
      <w:r>
        <w:rPr>
          <w:lang w:val="vi-VN"/>
        </w:rPr>
        <w:t>trên địa bàn tỉnh Thanh Hóa</w:t>
      </w:r>
      <w:r>
        <w:t>.</w:t>
      </w:r>
    </w:p>
    <w:bookmarkEnd w:id="6"/>
    <w:p w:rsidR="00187F1C" w:rsidRDefault="00422858">
      <w:pPr>
        <w:spacing w:before="120"/>
        <w:ind w:firstLine="720"/>
        <w:jc w:val="both"/>
      </w:pPr>
      <w:r>
        <w:t>- Trên c</w:t>
      </w:r>
      <w:r>
        <w:t xml:space="preserve">ơ sở kết quả phiên họp và đề xuất của UBND tỉnh, Ban Thường vụ Đảng ủy UBND tỉnh đã xem xét và thống nhất với nội dung trình HĐND tỉnh  ban hành Nghị quyết quy định chính sách hỗ trợ kinh phí mua thẻ bảo hiểm y tế đối với người cao tuổi </w:t>
      </w:r>
      <w:r>
        <w:rPr>
          <w:lang w:val="vi-VN"/>
        </w:rPr>
        <w:t>trên địa bàn tỉnh T</w:t>
      </w:r>
      <w:r>
        <w:rPr>
          <w:lang w:val="vi-VN"/>
        </w:rPr>
        <w:t>hanh Hóa</w:t>
      </w:r>
      <w:r>
        <w:rPr>
          <w:bCs/>
        </w:rPr>
        <w:t xml:space="preserve"> </w:t>
      </w:r>
      <w:r>
        <w:rPr>
          <w:bCs/>
          <w:i/>
          <w:iCs/>
        </w:rPr>
        <w:t>(tại Tờ trình số:….-TTr/ĐU ngày…./11/2026)</w:t>
      </w:r>
    </w:p>
    <w:p w:rsidR="00187F1C" w:rsidRDefault="00422858">
      <w:pPr>
        <w:spacing w:before="120"/>
        <w:jc w:val="both"/>
      </w:pPr>
      <w:r>
        <w:rPr>
          <w:color w:val="FF0000"/>
          <w:lang w:val="vi-VN"/>
        </w:rPr>
        <w:tab/>
      </w:r>
      <w:r>
        <w:rPr>
          <w:lang w:val="vi-VN"/>
        </w:rPr>
        <w:t>- Ngày</w:t>
      </w:r>
      <w:r>
        <w:t>….</w:t>
      </w:r>
      <w:r>
        <w:rPr>
          <w:lang w:val="vi-VN"/>
        </w:rPr>
        <w:t>/</w:t>
      </w:r>
      <w:r>
        <w:t>…</w:t>
      </w:r>
      <w:r>
        <w:rPr>
          <w:lang w:val="vi-VN"/>
        </w:rPr>
        <w:t>/202</w:t>
      </w:r>
      <w:r>
        <w:t>6</w:t>
      </w:r>
      <w:r>
        <w:rPr>
          <w:lang w:val="vi-VN"/>
        </w:rPr>
        <w:t xml:space="preserve">, tại Hội nghị Ban Thường vụ Tỉnh ủy đã thống nhất chủ trương việc ban hành </w:t>
      </w:r>
      <w:r>
        <w:t xml:space="preserve">Nghị quyết quy định chính sách hỗ trợ kinh phí mua thẻ bảo hiểm y tế đối với người cao tuổi </w:t>
      </w:r>
      <w:r>
        <w:rPr>
          <w:lang w:val="vi-VN"/>
        </w:rPr>
        <w:t>trên địa bàn tỉnh Th</w:t>
      </w:r>
      <w:r>
        <w:rPr>
          <w:lang w:val="vi-VN"/>
        </w:rPr>
        <w:t>anh Hóa</w:t>
      </w:r>
      <w:r>
        <w:t>.</w:t>
      </w:r>
    </w:p>
    <w:p w:rsidR="00187F1C" w:rsidRDefault="00422858">
      <w:pPr>
        <w:spacing w:before="120"/>
        <w:ind w:firstLine="720"/>
        <w:jc w:val="both"/>
        <w:rPr>
          <w:b/>
          <w:bCs/>
          <w:color w:val="000000"/>
          <w:lang w:val="vi-VN"/>
        </w:rPr>
      </w:pPr>
      <w:r>
        <w:rPr>
          <w:b/>
          <w:bCs/>
          <w:color w:val="000000"/>
        </w:rPr>
        <w:t>I</w:t>
      </w:r>
      <w:r>
        <w:rPr>
          <w:b/>
          <w:bCs/>
          <w:color w:val="000000"/>
          <w:lang w:val="vi-VN"/>
        </w:rPr>
        <w:t>V. BỐ CỤC VÀ NỘI DUNG CƠ BẢN CỦA DỰ THẢO NGHỊ QUYẾT</w:t>
      </w:r>
    </w:p>
    <w:p w:rsidR="00187F1C" w:rsidRDefault="00422858">
      <w:pPr>
        <w:shd w:val="clear" w:color="auto" w:fill="FFFFFF"/>
        <w:spacing w:before="120"/>
        <w:ind w:firstLine="720"/>
        <w:jc w:val="both"/>
        <w:textAlignment w:val="baseline"/>
        <w:rPr>
          <w:bCs/>
          <w:color w:val="000000"/>
          <w:lang w:val="vi-VN"/>
        </w:rPr>
      </w:pPr>
      <w:r>
        <w:rPr>
          <w:b/>
          <w:bCs/>
          <w:color w:val="000000"/>
          <w:lang w:val="vi-VN"/>
        </w:rPr>
        <w:t>1. Về bố cục</w:t>
      </w:r>
      <w:r>
        <w:rPr>
          <w:bCs/>
          <w:color w:val="000000"/>
          <w:lang w:val="vi-VN"/>
        </w:rPr>
        <w:t>: dự thảo Nghị quyết được xây dựng có bố cục gồm 0</w:t>
      </w:r>
      <w:r>
        <w:rPr>
          <w:bCs/>
          <w:color w:val="000000"/>
        </w:rPr>
        <w:t xml:space="preserve">5 </w:t>
      </w:r>
      <w:r>
        <w:rPr>
          <w:bCs/>
          <w:color w:val="000000"/>
          <w:lang w:val="vi-VN"/>
        </w:rPr>
        <w:t xml:space="preserve">Điều. </w:t>
      </w:r>
    </w:p>
    <w:p w:rsidR="00187F1C" w:rsidRDefault="00422858">
      <w:pPr>
        <w:shd w:val="clear" w:color="auto" w:fill="FFFFFF"/>
        <w:spacing w:before="120"/>
        <w:ind w:firstLine="720"/>
        <w:jc w:val="both"/>
        <w:textAlignment w:val="baseline"/>
        <w:rPr>
          <w:b/>
          <w:bCs/>
          <w:color w:val="000000"/>
          <w:lang w:val="vi-VN"/>
        </w:rPr>
      </w:pPr>
      <w:r>
        <w:rPr>
          <w:b/>
          <w:bCs/>
          <w:color w:val="000000"/>
          <w:lang w:val="vi-VN"/>
        </w:rPr>
        <w:t xml:space="preserve">2. Nội dung cơ bản của dự thảo Nghị quyết, cụ thể như sau: </w:t>
      </w:r>
    </w:p>
    <w:p w:rsidR="00187F1C" w:rsidRDefault="00422858">
      <w:pPr>
        <w:shd w:val="clear" w:color="auto" w:fill="FFFFFF"/>
        <w:spacing w:before="120"/>
        <w:ind w:firstLine="720"/>
        <w:jc w:val="both"/>
        <w:textAlignment w:val="baseline"/>
        <w:rPr>
          <w:b/>
          <w:bCs/>
          <w:i/>
          <w:color w:val="000000"/>
        </w:rPr>
      </w:pPr>
      <w:r>
        <w:rPr>
          <w:b/>
          <w:bCs/>
          <w:i/>
          <w:color w:val="000000"/>
        </w:rPr>
        <w:t xml:space="preserve">a) </w:t>
      </w:r>
      <w:r>
        <w:rPr>
          <w:b/>
          <w:bCs/>
          <w:i/>
          <w:color w:val="000000"/>
          <w:lang w:val="vi-VN"/>
        </w:rPr>
        <w:t>Phạm vi điều chỉnh, đối tượng áp dụng</w:t>
      </w:r>
      <w:r>
        <w:rPr>
          <w:b/>
          <w:bCs/>
          <w:i/>
          <w:color w:val="000000"/>
        </w:rPr>
        <w:t xml:space="preserve"> (Điều 1)</w:t>
      </w:r>
    </w:p>
    <w:p w:rsidR="00187F1C" w:rsidRDefault="00422858">
      <w:pPr>
        <w:spacing w:before="120"/>
        <w:ind w:firstLine="720"/>
        <w:jc w:val="both"/>
        <w:rPr>
          <w:bCs/>
        </w:rPr>
      </w:pPr>
      <w:r>
        <w:rPr>
          <w:bCs/>
        </w:rPr>
        <w:t xml:space="preserve">- </w:t>
      </w:r>
      <w:r>
        <w:rPr>
          <w:bCs/>
          <w:lang w:val="vi-VN"/>
        </w:rPr>
        <w:t xml:space="preserve">Phạm vi điều chỉnh: Nghị quyết này quy định </w:t>
      </w:r>
      <w:r>
        <w:rPr>
          <w:bCs/>
        </w:rPr>
        <w:t xml:space="preserve">chính sách </w:t>
      </w:r>
      <w:r>
        <w:rPr>
          <w:bCs/>
          <w:lang w:val="vi-VN"/>
        </w:rPr>
        <w:t xml:space="preserve">trợ </w:t>
      </w:r>
      <w:r>
        <w:t xml:space="preserve">hỗ kinh phí mua thẻ bảo hiểm y tế cho </w:t>
      </w:r>
      <w:r>
        <w:rPr>
          <w:bCs/>
        </w:rPr>
        <w:t xml:space="preserve">người cao tuổi chưa có thẻ bảo hiểm y tế </w:t>
      </w:r>
      <w:r>
        <w:rPr>
          <w:bCs/>
          <w:lang w:val="vi-VN"/>
        </w:rPr>
        <w:t>trên địa bàn tỉnh Thanh Hóa</w:t>
      </w:r>
      <w:r>
        <w:rPr>
          <w:bCs/>
        </w:rPr>
        <w:t>.</w:t>
      </w:r>
    </w:p>
    <w:p w:rsidR="00187F1C" w:rsidRDefault="00422858">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t xml:space="preserve">- </w:t>
      </w:r>
      <w:r>
        <w:rPr>
          <w:bCs/>
          <w:sz w:val="28"/>
          <w:szCs w:val="28"/>
          <w:lang w:val="vi-VN"/>
        </w:rPr>
        <w:t>Đối tượng</w:t>
      </w:r>
      <w:r>
        <w:rPr>
          <w:bCs/>
          <w:sz w:val="28"/>
          <w:szCs w:val="28"/>
        </w:rPr>
        <w:t xml:space="preserve"> áp dụng</w:t>
      </w:r>
      <w:r>
        <w:rPr>
          <w:rStyle w:val="FootnoteReference"/>
          <w:bCs/>
          <w:sz w:val="28"/>
          <w:szCs w:val="28"/>
          <w:lang w:val="vi-VN"/>
        </w:rPr>
        <w:footnoteReference w:id="6"/>
      </w:r>
      <w:r>
        <w:rPr>
          <w:bCs/>
          <w:sz w:val="28"/>
          <w:szCs w:val="28"/>
        </w:rPr>
        <w:t>:</w:t>
      </w:r>
    </w:p>
    <w:p w:rsidR="00187F1C" w:rsidRDefault="00422858">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t xml:space="preserve">a) </w:t>
      </w:r>
      <w:r>
        <w:rPr>
          <w:bCs/>
          <w:sz w:val="28"/>
          <w:szCs w:val="28"/>
          <w:lang w:val="vi-VN"/>
        </w:rPr>
        <w:t xml:space="preserve">Người cao tuổi </w:t>
      </w:r>
      <w:r>
        <w:rPr>
          <w:bCs/>
          <w:sz w:val="28"/>
          <w:szCs w:val="28"/>
        </w:rPr>
        <w:t xml:space="preserve">từ đủ 60 tuổi đến dưới 75 tuổi có đăng ký thường </w:t>
      </w:r>
      <w:r>
        <w:rPr>
          <w:bCs/>
          <w:sz w:val="28"/>
          <w:szCs w:val="28"/>
        </w:rPr>
        <w:t>trú trên địa bàn tỉnh Thanh Hóa không thuộc đối tượng được ngân sách nhà nước hỗ trợ mức đóng bảo hiểm y tế và chưa có thẻ bảo hiểm y tế.</w:t>
      </w:r>
    </w:p>
    <w:p w:rsidR="00187F1C" w:rsidRDefault="00422858">
      <w:pPr>
        <w:pStyle w:val="NormalWeb"/>
        <w:shd w:val="clear" w:color="auto" w:fill="FFFFFF"/>
        <w:spacing w:before="120" w:beforeAutospacing="0" w:after="0" w:afterAutospacing="0"/>
        <w:ind w:firstLine="720"/>
        <w:jc w:val="both"/>
        <w:textAlignment w:val="baseline"/>
        <w:rPr>
          <w:bCs/>
          <w:sz w:val="28"/>
          <w:szCs w:val="28"/>
        </w:rPr>
      </w:pPr>
      <w:r>
        <w:rPr>
          <w:bCs/>
          <w:sz w:val="28"/>
          <w:szCs w:val="28"/>
        </w:rPr>
        <w:lastRenderedPageBreak/>
        <w:t xml:space="preserve">b) Người cao tuổi từ đủ 60 tuổi đến dưới 75 tuổi có đăng ký thường trú  trên địa bàn tỉnh Thanh Hóa thuộc hộ gia đình </w:t>
      </w:r>
      <w:r>
        <w:rPr>
          <w:bCs/>
          <w:sz w:val="28"/>
          <w:szCs w:val="28"/>
        </w:rPr>
        <w:t>làm nông nghiệp, lâm nghiệp, ngư nghiệp và diêm nghiệp có mức sống trung bình, chưa có thẻ bảo hiểm y tế, được ngân sách nhà nước hỗ trợ 30% mức đóng bảo hiểm y tế.</w:t>
      </w:r>
    </w:p>
    <w:p w:rsidR="00187F1C" w:rsidRDefault="00422858">
      <w:pPr>
        <w:pStyle w:val="NormalWeb"/>
        <w:shd w:val="clear" w:color="auto" w:fill="FFFFFF"/>
        <w:spacing w:before="120" w:beforeAutospacing="0" w:after="0" w:afterAutospacing="0"/>
        <w:ind w:firstLine="720"/>
        <w:jc w:val="both"/>
        <w:textAlignment w:val="baseline"/>
        <w:rPr>
          <w:b/>
          <w:i/>
          <w:iCs/>
          <w:sz w:val="28"/>
          <w:szCs w:val="28"/>
        </w:rPr>
      </w:pPr>
      <w:bookmarkStart w:id="7" w:name="_Hlk233703312"/>
      <w:r>
        <w:rPr>
          <w:b/>
          <w:i/>
          <w:iCs/>
          <w:sz w:val="28"/>
          <w:szCs w:val="28"/>
        </w:rPr>
        <w:t>b) Nội dung và mức hỗ trợ (Điều 2)</w:t>
      </w:r>
    </w:p>
    <w:p w:rsidR="00187F1C" w:rsidRDefault="00422858">
      <w:pPr>
        <w:pStyle w:val="NormalWeb"/>
        <w:shd w:val="clear" w:color="auto" w:fill="FFFFFF"/>
        <w:spacing w:before="120" w:beforeAutospacing="0" w:after="0" w:afterAutospacing="0"/>
        <w:ind w:firstLine="720"/>
        <w:jc w:val="both"/>
        <w:textAlignment w:val="baseline"/>
        <w:rPr>
          <w:iCs/>
          <w:sz w:val="28"/>
          <w:szCs w:val="28"/>
        </w:rPr>
      </w:pPr>
      <w:r>
        <w:rPr>
          <w:iCs/>
          <w:sz w:val="28"/>
          <w:szCs w:val="28"/>
        </w:rPr>
        <w:t>Sau khi xây dựng/so sánh các phương án đề xuất chính sác</w:t>
      </w:r>
      <w:r>
        <w:rPr>
          <w:iCs/>
          <w:sz w:val="28"/>
          <w:szCs w:val="28"/>
        </w:rPr>
        <w:t>h</w:t>
      </w:r>
      <w:r>
        <w:rPr>
          <w:rStyle w:val="FootnoteReference"/>
          <w:iCs/>
          <w:sz w:val="28"/>
          <w:szCs w:val="28"/>
        </w:rPr>
        <w:footnoteReference w:id="7"/>
      </w:r>
      <w:r>
        <w:rPr>
          <w:iCs/>
          <w:sz w:val="28"/>
          <w:szCs w:val="28"/>
        </w:rPr>
        <w:t xml:space="preserve"> và tham khảo các tỉnh đã ban hành chính sách hỗ trợ BHYT đối với NCT chưa có thẻ bảo hiểm xã hội</w:t>
      </w:r>
      <w:r>
        <w:rPr>
          <w:rStyle w:val="FootnoteReference"/>
          <w:iCs/>
          <w:sz w:val="28"/>
          <w:szCs w:val="28"/>
        </w:rPr>
        <w:footnoteReference w:id="8"/>
      </w:r>
      <w:r>
        <w:rPr>
          <w:iCs/>
          <w:sz w:val="28"/>
          <w:szCs w:val="28"/>
        </w:rPr>
        <w:t xml:space="preserve"> và khả năng cân đối của ngân sách tỉnh, UBND tỉnh đề xuất HĐND tỉnh nội dung và mức hỗ trợ như sau:</w:t>
      </w:r>
    </w:p>
    <w:p w:rsidR="00187F1C" w:rsidRDefault="00422858">
      <w:pPr>
        <w:pStyle w:val="NormalWeb"/>
        <w:shd w:val="clear" w:color="auto" w:fill="FFFFFF"/>
        <w:spacing w:before="120" w:beforeAutospacing="0" w:after="0" w:afterAutospacing="0"/>
        <w:ind w:firstLine="720"/>
        <w:jc w:val="both"/>
        <w:textAlignment w:val="baseline"/>
        <w:rPr>
          <w:i/>
          <w:sz w:val="28"/>
          <w:szCs w:val="28"/>
        </w:rPr>
      </w:pPr>
      <w:r>
        <w:rPr>
          <w:sz w:val="28"/>
          <w:szCs w:val="28"/>
        </w:rPr>
        <w:t>- Mức hỗ trợ đối với người cao tuổi từ đủ 60 tuổi đến d</w:t>
      </w:r>
      <w:r>
        <w:rPr>
          <w:sz w:val="28"/>
          <w:szCs w:val="28"/>
        </w:rPr>
        <w:t xml:space="preserve">ưới 70 tuổi </w:t>
      </w:r>
      <w:r>
        <w:rPr>
          <w:i/>
          <w:sz w:val="28"/>
          <w:szCs w:val="28"/>
        </w:rPr>
        <w:t xml:space="preserve">(mức đề xuất hỗ trợ là 70% bằng mức ngân sách trung ương hỗ trợ đối với hộ cận nghèo áp dụng trên phạm vi cả nước theo quy định tại điểm b khoản 6 Điều 6 Nghị định số 188/2025/NĐ-CP ngày 01/7/2025 của Chính phủ), </w:t>
      </w:r>
      <w:r>
        <w:rPr>
          <w:sz w:val="28"/>
          <w:szCs w:val="28"/>
        </w:rPr>
        <w:t>cụ thể là:</w:t>
      </w:r>
    </w:p>
    <w:p w:rsidR="00187F1C" w:rsidRDefault="00422858">
      <w:pPr>
        <w:pStyle w:val="NormalWeb"/>
        <w:shd w:val="clear" w:color="auto" w:fill="FFFFFF"/>
        <w:spacing w:before="120" w:beforeAutospacing="0" w:after="0" w:afterAutospacing="0"/>
        <w:ind w:firstLine="720"/>
        <w:jc w:val="both"/>
        <w:textAlignment w:val="baseline"/>
        <w:rPr>
          <w:bCs/>
          <w:sz w:val="28"/>
          <w:szCs w:val="28"/>
        </w:rPr>
      </w:pPr>
      <w:r>
        <w:rPr>
          <w:sz w:val="28"/>
          <w:szCs w:val="28"/>
        </w:rPr>
        <w:t xml:space="preserve">+ </w:t>
      </w:r>
      <w:r>
        <w:rPr>
          <w:bCs/>
          <w:sz w:val="28"/>
          <w:szCs w:val="28"/>
        </w:rPr>
        <w:t>Hỗ trợ 70% mức đón</w:t>
      </w:r>
      <w:r>
        <w:rPr>
          <w:bCs/>
          <w:sz w:val="28"/>
          <w:szCs w:val="28"/>
        </w:rPr>
        <w:t>g bảo hiểm y tế đối với người cao tuổi từ đủ 60 tuổi đến dưới 70 tuổi có đăng ký thường trú trên địa bàn tỉnh Thanh Hóa không thuộc đối tượng được ngân sách nhà nước hỗ trợ mức đóng bảo hiểm y tế và chưa có thẻ bảo hiểm y tế.</w:t>
      </w:r>
    </w:p>
    <w:p w:rsidR="00187F1C" w:rsidRDefault="00422858">
      <w:pPr>
        <w:pStyle w:val="NormalWeb"/>
        <w:shd w:val="clear" w:color="auto" w:fill="FFFFFF"/>
        <w:spacing w:before="120" w:beforeAutospacing="0" w:after="0" w:afterAutospacing="0"/>
        <w:ind w:firstLine="720"/>
        <w:jc w:val="both"/>
        <w:textAlignment w:val="baseline"/>
        <w:rPr>
          <w:bCs/>
          <w:spacing w:val="-8"/>
          <w:sz w:val="28"/>
          <w:szCs w:val="28"/>
        </w:rPr>
      </w:pPr>
      <w:r>
        <w:rPr>
          <w:sz w:val="28"/>
          <w:szCs w:val="28"/>
        </w:rPr>
        <w:t xml:space="preserve">+ </w:t>
      </w:r>
      <w:r>
        <w:rPr>
          <w:bCs/>
          <w:sz w:val="28"/>
          <w:szCs w:val="28"/>
        </w:rPr>
        <w:t xml:space="preserve">Hỗ trợ thêm 40% mức đóng bảo hiểm y tế đối với người cao tuổi từ đủ 60 tuổi đến dưới 70 tuổi có đăng ký thường trú trên địa bàn tỉnh Thanh Hóa thuộc hộ gia đình làm nông nghiệp, lâm nghiệp, ngư nghiệp và diêm nghiệp có mức sống trung bình, chưa có thẻ bảo </w:t>
      </w:r>
      <w:r>
        <w:rPr>
          <w:bCs/>
          <w:sz w:val="28"/>
          <w:szCs w:val="28"/>
        </w:rPr>
        <w:t xml:space="preserve">hiểm y tế, được ngân sách nhà nước hỗ trợ 30% mức </w:t>
      </w:r>
      <w:r>
        <w:rPr>
          <w:bCs/>
          <w:spacing w:val="-8"/>
          <w:sz w:val="28"/>
          <w:szCs w:val="28"/>
        </w:rPr>
        <w:t>đóng bảo hiểm y tế.</w:t>
      </w:r>
    </w:p>
    <w:p w:rsidR="00187F1C" w:rsidRDefault="00422858">
      <w:pPr>
        <w:pStyle w:val="NormalWeb"/>
        <w:spacing w:before="120" w:beforeAutospacing="0" w:after="0" w:afterAutospacing="0"/>
        <w:ind w:firstLine="720"/>
        <w:jc w:val="both"/>
        <w:rPr>
          <w:iCs/>
          <w:sz w:val="28"/>
          <w:szCs w:val="28"/>
        </w:rPr>
      </w:pPr>
      <w:r>
        <w:rPr>
          <w:bCs/>
          <w:spacing w:val="-8"/>
          <w:sz w:val="28"/>
          <w:szCs w:val="28"/>
        </w:rPr>
        <w:t xml:space="preserve">-  Mức </w:t>
      </w:r>
      <w:r>
        <w:rPr>
          <w:sz w:val="28"/>
          <w:szCs w:val="28"/>
        </w:rPr>
        <w:t xml:space="preserve">hỗ trợ đối với người cao tuổi từ đủ 70 tuổi đến dưới 75 tuổi </w:t>
      </w:r>
      <w:r>
        <w:rPr>
          <w:i/>
          <w:sz w:val="28"/>
          <w:szCs w:val="28"/>
        </w:rPr>
        <w:t>(mức đề xuất hỗ trợ là 85% bằng mức hỗ trợ đối với hộ cận nghèo trên địa bàn tỉnh Thanh Hóa (ngân sách trung ương hỗ t</w:t>
      </w:r>
      <w:r>
        <w:rPr>
          <w:i/>
          <w:sz w:val="28"/>
          <w:szCs w:val="28"/>
        </w:rPr>
        <w:t xml:space="preserve">rợ 70% quy định tại điểm b khoản 6 Điều 6 Nghị định số 188/2025/NĐ-CP ngày 01/7/2025 của Chính phủ và ngân sách tỉnh hỗ trợ 15% theo </w:t>
      </w:r>
      <w:r>
        <w:rPr>
          <w:i/>
          <w:iCs/>
          <w:sz w:val="28"/>
          <w:szCs w:val="28"/>
        </w:rPr>
        <w:t>Nghị quyết số 09/2026/NQ-HĐND ngày 27/5/2026 của HĐND tỉnh Thanh Hóa quy định mức hỗ trợ đóng BHYT cho hộ cận nghèo trên đị</w:t>
      </w:r>
      <w:r>
        <w:rPr>
          <w:i/>
          <w:iCs/>
          <w:sz w:val="28"/>
          <w:szCs w:val="28"/>
        </w:rPr>
        <w:t xml:space="preserve">a bàn tỉnh Thanh Hóa giai đoạn 2026-2030), </w:t>
      </w:r>
      <w:r>
        <w:rPr>
          <w:iCs/>
          <w:sz w:val="28"/>
          <w:szCs w:val="28"/>
        </w:rPr>
        <w:t>cụ thể là:</w:t>
      </w:r>
    </w:p>
    <w:p w:rsidR="00187F1C" w:rsidRDefault="00422858">
      <w:pPr>
        <w:pStyle w:val="NormalWeb"/>
        <w:shd w:val="clear" w:color="auto" w:fill="FFFFFF"/>
        <w:spacing w:before="120" w:beforeAutospacing="0" w:after="0" w:afterAutospacing="0"/>
        <w:ind w:firstLine="720"/>
        <w:jc w:val="both"/>
        <w:textAlignment w:val="baseline"/>
        <w:rPr>
          <w:bCs/>
          <w:spacing w:val="-6"/>
          <w:sz w:val="28"/>
          <w:szCs w:val="28"/>
        </w:rPr>
      </w:pPr>
      <w:r>
        <w:rPr>
          <w:sz w:val="28"/>
          <w:szCs w:val="28"/>
        </w:rPr>
        <w:t xml:space="preserve">+ </w:t>
      </w:r>
      <w:r>
        <w:rPr>
          <w:bCs/>
          <w:sz w:val="28"/>
          <w:szCs w:val="28"/>
        </w:rPr>
        <w:t xml:space="preserve">Hỗ trợ 85% mức đóng bảo hiểm y tế đối với người cao tuổi từ đủ 70 tuổi đến dưới 75 tuổi có đăng ký thường trú trên địa bàn tỉnh Thanh Hóa không </w:t>
      </w:r>
      <w:r>
        <w:rPr>
          <w:bCs/>
          <w:sz w:val="28"/>
          <w:szCs w:val="28"/>
        </w:rPr>
        <w:lastRenderedPageBreak/>
        <w:t xml:space="preserve">thuộc đối tượng được ngân sách nhà nước hỗ trợ mức đóng </w:t>
      </w:r>
      <w:r>
        <w:rPr>
          <w:bCs/>
          <w:sz w:val="28"/>
          <w:szCs w:val="28"/>
        </w:rPr>
        <w:t>bảo hiểm y tế và chưa có thẻ bảo hiểm y tế.</w:t>
      </w:r>
    </w:p>
    <w:p w:rsidR="00187F1C" w:rsidRDefault="00422858">
      <w:pPr>
        <w:pStyle w:val="NormalWeb"/>
        <w:shd w:val="clear" w:color="auto" w:fill="FFFFFF"/>
        <w:spacing w:before="120" w:beforeAutospacing="0" w:after="0" w:afterAutospacing="0"/>
        <w:ind w:firstLine="720"/>
        <w:jc w:val="both"/>
        <w:textAlignment w:val="baseline"/>
        <w:rPr>
          <w:bCs/>
          <w:spacing w:val="-8"/>
          <w:sz w:val="28"/>
          <w:szCs w:val="28"/>
        </w:rPr>
      </w:pPr>
      <w:r>
        <w:rPr>
          <w:sz w:val="28"/>
          <w:szCs w:val="28"/>
        </w:rPr>
        <w:t xml:space="preserve">+ </w:t>
      </w:r>
      <w:r>
        <w:rPr>
          <w:bCs/>
          <w:sz w:val="28"/>
          <w:szCs w:val="28"/>
        </w:rPr>
        <w:t>Hỗ trợ thêm 55% mức đóng bảo hiểm y tế đối với người cao tuổi từ đủ 60 tuổi đến dưới 70 tuổi có đăng ký thường trú trên địa bàn tỉnh Thanh Hóa thuộc hộ gia đình làm nông nghiệp, lâm nghiệp, ngư nghiệp và diêm n</w:t>
      </w:r>
      <w:r>
        <w:rPr>
          <w:bCs/>
          <w:sz w:val="28"/>
          <w:szCs w:val="28"/>
        </w:rPr>
        <w:t xml:space="preserve">ghiệp có mức sống trung bình, chưa có thẻ bảo hiểm y tế, được ngân sách nhà nước hỗ trợ 30% mức </w:t>
      </w:r>
      <w:r>
        <w:rPr>
          <w:bCs/>
          <w:spacing w:val="-8"/>
          <w:sz w:val="28"/>
          <w:szCs w:val="28"/>
        </w:rPr>
        <w:t>đóng bảo hiểm y tế.</w:t>
      </w:r>
    </w:p>
    <w:bookmarkEnd w:id="7"/>
    <w:p w:rsidR="00187F1C" w:rsidRDefault="00422858">
      <w:pPr>
        <w:shd w:val="clear" w:color="auto" w:fill="FFFFFF"/>
        <w:spacing w:before="120"/>
        <w:ind w:firstLine="720"/>
        <w:jc w:val="both"/>
        <w:textAlignment w:val="baseline"/>
        <w:rPr>
          <w:b/>
          <w:bCs/>
          <w:i/>
          <w:color w:val="000000"/>
          <w:lang w:val="vi-VN"/>
        </w:rPr>
      </w:pPr>
      <w:r>
        <w:rPr>
          <w:b/>
          <w:bCs/>
          <w:i/>
          <w:iCs/>
          <w:color w:val="000000"/>
        </w:rPr>
        <w:t xml:space="preserve">c) </w:t>
      </w:r>
      <w:r>
        <w:rPr>
          <w:b/>
          <w:bCs/>
          <w:i/>
          <w:iCs/>
          <w:color w:val="000000"/>
          <w:lang w:val="vi-VN"/>
        </w:rPr>
        <w:t>Kinh phí thực hiện</w:t>
      </w:r>
      <w:r>
        <w:rPr>
          <w:b/>
          <w:bCs/>
          <w:i/>
          <w:iCs/>
          <w:color w:val="000000"/>
        </w:rPr>
        <w:t xml:space="preserve"> (</w:t>
      </w:r>
      <w:r>
        <w:rPr>
          <w:b/>
          <w:bCs/>
          <w:i/>
          <w:iCs/>
          <w:color w:val="000000"/>
          <w:lang w:val="vi-VN"/>
        </w:rPr>
        <w:t xml:space="preserve">Điều </w:t>
      </w:r>
      <w:r>
        <w:rPr>
          <w:b/>
          <w:bCs/>
          <w:i/>
          <w:iCs/>
          <w:color w:val="000000"/>
        </w:rPr>
        <w:t>3)</w:t>
      </w:r>
      <w:r>
        <w:rPr>
          <w:b/>
          <w:bCs/>
          <w:i/>
          <w:iCs/>
          <w:color w:val="000000"/>
          <w:lang w:val="vi-VN"/>
        </w:rPr>
        <w:t>:</w:t>
      </w:r>
      <w:r>
        <w:rPr>
          <w:b/>
          <w:bCs/>
          <w:i/>
          <w:color w:val="000000"/>
          <w:lang w:val="vi-VN"/>
        </w:rPr>
        <w:t xml:space="preserve"> </w:t>
      </w:r>
      <w:r>
        <w:rPr>
          <w:bCs/>
          <w:color w:val="000000"/>
          <w:lang w:val="vi-VN"/>
        </w:rPr>
        <w:t xml:space="preserve">Từ nguồn ngân sách tỉnh được đảm bảo hàng năm theo phân cấp ngân sách của địa phương. </w:t>
      </w:r>
    </w:p>
    <w:p w:rsidR="00187F1C" w:rsidRDefault="00422858">
      <w:pPr>
        <w:shd w:val="clear" w:color="auto" w:fill="FFFFFF"/>
        <w:spacing w:before="120"/>
        <w:ind w:firstLine="720"/>
        <w:jc w:val="both"/>
        <w:rPr>
          <w:b/>
          <w:bCs/>
          <w:i/>
          <w:iCs/>
        </w:rPr>
      </w:pPr>
      <w:r>
        <w:rPr>
          <w:b/>
          <w:bCs/>
          <w:i/>
          <w:iCs/>
        </w:rPr>
        <w:t xml:space="preserve">d) Tổ chức thực hiện </w:t>
      </w:r>
      <w:r>
        <w:rPr>
          <w:b/>
          <w:bCs/>
          <w:i/>
          <w:iCs/>
        </w:rPr>
        <w:t>(Điều 4)</w:t>
      </w:r>
    </w:p>
    <w:p w:rsidR="00187F1C" w:rsidRDefault="00422858">
      <w:pPr>
        <w:shd w:val="clear" w:color="auto" w:fill="FFFFFF"/>
        <w:spacing w:before="120"/>
        <w:ind w:firstLine="720"/>
        <w:jc w:val="both"/>
        <w:rPr>
          <w:b/>
          <w:bCs/>
          <w:i/>
          <w:iCs/>
        </w:rPr>
      </w:pPr>
      <w:r>
        <w:rPr>
          <w:b/>
          <w:bCs/>
          <w:i/>
          <w:iCs/>
        </w:rPr>
        <w:t xml:space="preserve">đ) </w:t>
      </w:r>
      <w:r>
        <w:rPr>
          <w:b/>
          <w:bCs/>
          <w:i/>
          <w:iCs/>
          <w:lang w:val="vi-VN"/>
        </w:rPr>
        <w:t>Điều khoản thi hành</w:t>
      </w:r>
      <w:r>
        <w:rPr>
          <w:b/>
          <w:bCs/>
          <w:i/>
          <w:iCs/>
        </w:rPr>
        <w:t xml:space="preserve"> (Điều 5)</w:t>
      </w:r>
    </w:p>
    <w:p w:rsidR="00187F1C" w:rsidRDefault="00422858">
      <w:pPr>
        <w:shd w:val="clear" w:color="auto" w:fill="FFFFFF"/>
        <w:spacing w:before="120"/>
        <w:ind w:firstLine="720"/>
        <w:jc w:val="both"/>
        <w:textAlignment w:val="baseline"/>
        <w:rPr>
          <w:b/>
        </w:rPr>
      </w:pPr>
      <w:r>
        <w:rPr>
          <w:b/>
          <w:lang w:val="vi-VN"/>
        </w:rPr>
        <w:t>V. DỰ KIẾN VỀ NGUỒN LỰC</w:t>
      </w:r>
      <w:r>
        <w:rPr>
          <w:b/>
        </w:rPr>
        <w:t>, ĐIỀU KIỆN ĐẢM BẢO CHO VIỆC THI HÀNH NGHỊ QUYẾT VÀ THỜI GIAN TRÌNH THÔNG QUA</w:t>
      </w:r>
    </w:p>
    <w:p w:rsidR="00187F1C" w:rsidRDefault="00422858">
      <w:pPr>
        <w:shd w:val="clear" w:color="auto" w:fill="FFFFFF"/>
        <w:spacing w:before="120"/>
        <w:ind w:firstLine="720"/>
        <w:jc w:val="both"/>
        <w:textAlignment w:val="baseline"/>
        <w:rPr>
          <w:b/>
          <w:bCs/>
        </w:rPr>
      </w:pPr>
      <w:r>
        <w:rPr>
          <w:b/>
          <w:bCs/>
        </w:rPr>
        <w:t xml:space="preserve">1. Dự kiến về nguồn lực: </w:t>
      </w:r>
      <w:r>
        <w:rPr>
          <w:bCs/>
          <w:lang w:val="vi-VN"/>
        </w:rPr>
        <w:t xml:space="preserve">Dự kiến kinh phí thực hiện </w:t>
      </w:r>
      <w:r>
        <w:rPr>
          <w:bCs/>
        </w:rPr>
        <w:t xml:space="preserve">chính sách </w:t>
      </w:r>
      <w:r>
        <w:rPr>
          <w:bCs/>
          <w:lang w:val="vi-VN"/>
        </w:rPr>
        <w:t xml:space="preserve">khoảng </w:t>
      </w:r>
      <w:r>
        <w:rPr>
          <w:bCs/>
        </w:rPr>
        <w:t xml:space="preserve">147 </w:t>
      </w:r>
      <w:r>
        <w:rPr>
          <w:bCs/>
          <w:lang w:val="vi-VN"/>
        </w:rPr>
        <w:t>tỷ đồng/năm</w:t>
      </w:r>
      <w:r>
        <w:rPr>
          <w:bCs/>
        </w:rPr>
        <w:t xml:space="preserve"> </w:t>
      </w:r>
      <w:r>
        <w:rPr>
          <w:bCs/>
          <w:i/>
        </w:rPr>
        <w:t xml:space="preserve">(Một trăm bốn mươi bảy tỷ </w:t>
      </w:r>
      <w:r>
        <w:rPr>
          <w:bCs/>
          <w:i/>
        </w:rPr>
        <w:t>đồng)</w:t>
      </w:r>
      <w:r>
        <w:rPr>
          <w:bCs/>
        </w:rPr>
        <w:t xml:space="preserve"> </w:t>
      </w:r>
      <w:r>
        <w:rPr>
          <w:bCs/>
          <w:lang w:val="vi-VN"/>
        </w:rPr>
        <w:t xml:space="preserve">từ nguồn ngân sách tỉnh được đảm bảo hàng năm. </w:t>
      </w:r>
    </w:p>
    <w:p w:rsidR="00187F1C" w:rsidRDefault="00422858">
      <w:pPr>
        <w:shd w:val="clear" w:color="auto" w:fill="FFFFFF"/>
        <w:spacing w:before="120"/>
        <w:jc w:val="center"/>
        <w:textAlignment w:val="baseline"/>
        <w:rPr>
          <w:bCs/>
          <w:i/>
          <w:iCs/>
        </w:rPr>
      </w:pPr>
      <w:r>
        <w:rPr>
          <w:bCs/>
          <w:i/>
          <w:iCs/>
          <w:lang w:val="vi-VN"/>
        </w:rPr>
        <w:t xml:space="preserve">(Có Phụ lục số I: Thống kê số lượng đối tượng và Phụ lục số II: Dự toán kinh phí </w:t>
      </w:r>
      <w:r>
        <w:rPr>
          <w:bCs/>
          <w:i/>
          <w:iCs/>
        </w:rPr>
        <w:t xml:space="preserve">dự kiến </w:t>
      </w:r>
      <w:r>
        <w:rPr>
          <w:bCs/>
          <w:i/>
          <w:iCs/>
          <w:lang w:val="vi-VN"/>
        </w:rPr>
        <w:t>thực hiện Nghị quyết gửi kèm theo)</w:t>
      </w:r>
      <w:r>
        <w:rPr>
          <w:bCs/>
          <w:i/>
          <w:iCs/>
        </w:rPr>
        <w:t>.</w:t>
      </w:r>
    </w:p>
    <w:p w:rsidR="00187F1C" w:rsidRDefault="00422858">
      <w:pPr>
        <w:shd w:val="clear" w:color="auto" w:fill="FFFFFF"/>
        <w:spacing w:before="120"/>
        <w:jc w:val="both"/>
        <w:textAlignment w:val="baseline"/>
        <w:rPr>
          <w:bCs/>
          <w:iCs/>
        </w:rPr>
      </w:pPr>
      <w:r>
        <w:rPr>
          <w:bCs/>
          <w:i/>
          <w:iCs/>
        </w:rPr>
        <w:tab/>
      </w:r>
      <w:r>
        <w:rPr>
          <w:b/>
          <w:bCs/>
          <w:iCs/>
        </w:rPr>
        <w:t>2. Thời gian trình thông qua Nghị quyết:</w:t>
      </w:r>
      <w:r>
        <w:rPr>
          <w:bCs/>
          <w:iCs/>
        </w:rPr>
        <w:t xml:space="preserve"> </w:t>
      </w:r>
      <w:r>
        <w:rPr>
          <w:color w:val="000000"/>
          <w:lang w:val="vi-VN"/>
        </w:rPr>
        <w:t>Dự kiến thời gian trình Hội đồng nh</w:t>
      </w:r>
      <w:r>
        <w:rPr>
          <w:color w:val="000000"/>
          <w:lang w:val="vi-VN"/>
        </w:rPr>
        <w:t>ân dân tỉnh xem xét, thông qua Nghị quyết vào kỳ họp của Hội đồng nhân dân tỉnh trong Quý IV năm 2026.</w:t>
      </w:r>
    </w:p>
    <w:p w:rsidR="00187F1C" w:rsidRDefault="00422858">
      <w:pPr>
        <w:spacing w:before="120"/>
        <w:jc w:val="center"/>
        <w:rPr>
          <w:i/>
          <w:iCs/>
        </w:rPr>
      </w:pPr>
      <w:r>
        <w:rPr>
          <w:i/>
          <w:iCs/>
          <w:lang w:val="vi-VN"/>
        </w:rPr>
        <w:t xml:space="preserve">(UBND tỉnh kính gửi kèm theo </w:t>
      </w:r>
      <w:r>
        <w:rPr>
          <w:i/>
          <w:iCs/>
        </w:rPr>
        <w:t xml:space="preserve">dự thảo Nghị quyết và </w:t>
      </w:r>
      <w:r>
        <w:rPr>
          <w:i/>
          <w:iCs/>
          <w:lang w:val="vi-VN"/>
        </w:rPr>
        <w:t>các văn bản có liên quan)</w:t>
      </w:r>
      <w:r>
        <w:rPr>
          <w:i/>
          <w:iCs/>
        </w:rPr>
        <w:t>.</w:t>
      </w:r>
    </w:p>
    <w:p w:rsidR="00187F1C" w:rsidRDefault="00422858">
      <w:pPr>
        <w:spacing w:before="120" w:after="240"/>
        <w:ind w:firstLine="720"/>
        <w:jc w:val="both"/>
        <w:rPr>
          <w:color w:val="000000"/>
        </w:rPr>
      </w:pPr>
      <w:r>
        <w:rPr>
          <w:color w:val="000000"/>
        </w:rPr>
        <w:t xml:space="preserve">Trên đây là Tờ trình về dự thảo </w:t>
      </w:r>
      <w:r>
        <w:t xml:space="preserve">Nghị quyết của Hội đồng nhân dân tỉnh </w:t>
      </w:r>
      <w:r>
        <w:rPr>
          <w:bCs/>
        </w:rPr>
        <w:t xml:space="preserve">quy định chính sách </w:t>
      </w:r>
      <w:r>
        <w:t xml:space="preserve">hỗ trợ kinh phí mua thẻ bảo hiểm y tế cho </w:t>
      </w:r>
      <w:r>
        <w:rPr>
          <w:bCs/>
        </w:rPr>
        <w:t xml:space="preserve">người cao tuổi </w:t>
      </w:r>
      <w:r>
        <w:rPr>
          <w:bCs/>
          <w:lang w:val="vi-VN"/>
        </w:rPr>
        <w:t>trên địa bàn tỉnh Thanh Hó</w:t>
      </w:r>
      <w:r>
        <w:rPr>
          <w:bCs/>
        </w:rPr>
        <w:t>a</w:t>
      </w:r>
      <w:r>
        <w:t xml:space="preserve">, </w:t>
      </w:r>
      <w:r>
        <w:rPr>
          <w:color w:val="000000"/>
          <w:lang w:val="vi-VN"/>
        </w:rPr>
        <w:t xml:space="preserve">Ủy ban nhân dân tỉnh kính trình Hội đồng nhân dân tỉnh xem xét, quyết định./. </w:t>
      </w:r>
    </w:p>
    <w:tbl>
      <w:tblPr>
        <w:tblW w:w="0" w:type="auto"/>
        <w:tblLook w:val="04A0" w:firstRow="1" w:lastRow="0" w:firstColumn="1" w:lastColumn="0" w:noHBand="0" w:noVBand="1"/>
      </w:tblPr>
      <w:tblGrid>
        <w:gridCol w:w="4643"/>
        <w:gridCol w:w="4643"/>
      </w:tblGrid>
      <w:tr w:rsidR="00187F1C">
        <w:tc>
          <w:tcPr>
            <w:tcW w:w="4644" w:type="dxa"/>
          </w:tcPr>
          <w:p w:rsidR="00187F1C" w:rsidRDefault="00422858">
            <w:pPr>
              <w:spacing w:before="60"/>
              <w:jc w:val="both"/>
              <w:rPr>
                <w:spacing w:val="-6"/>
                <w:lang w:val="vi-VN"/>
              </w:rPr>
            </w:pPr>
            <w:r>
              <w:rPr>
                <w:b/>
                <w:i/>
                <w:spacing w:val="-6"/>
                <w:sz w:val="24"/>
                <w:lang w:val="vi-VN"/>
              </w:rPr>
              <w:t xml:space="preserve">Nơi nhận: </w:t>
            </w:r>
          </w:p>
          <w:p w:rsidR="00187F1C" w:rsidRDefault="00422858">
            <w:pPr>
              <w:jc w:val="both"/>
              <w:rPr>
                <w:color w:val="000000"/>
                <w:sz w:val="22"/>
                <w:szCs w:val="22"/>
                <w:lang w:val="vi-VN"/>
              </w:rPr>
            </w:pPr>
            <w:r>
              <w:rPr>
                <w:color w:val="000000"/>
                <w:sz w:val="22"/>
                <w:szCs w:val="22"/>
                <w:lang w:val="vi-VN"/>
              </w:rPr>
              <w:t>- Nh</w:t>
            </w:r>
            <w:r>
              <w:rPr>
                <w:rFonts w:hint="eastAsia"/>
                <w:color w:val="000000"/>
                <w:sz w:val="22"/>
                <w:szCs w:val="22"/>
                <w:lang w:val="vi-VN"/>
              </w:rPr>
              <w:t>ư</w:t>
            </w:r>
            <w:r>
              <w:rPr>
                <w:color w:val="000000"/>
                <w:sz w:val="22"/>
                <w:szCs w:val="22"/>
                <w:lang w:val="vi-VN"/>
              </w:rPr>
              <w:t xml:space="preserve"> trên;</w:t>
            </w:r>
          </w:p>
          <w:p w:rsidR="00187F1C" w:rsidRDefault="00422858">
            <w:pPr>
              <w:jc w:val="both"/>
              <w:rPr>
                <w:color w:val="000000"/>
                <w:sz w:val="22"/>
                <w:szCs w:val="22"/>
                <w:lang w:val="vi-VN"/>
              </w:rPr>
            </w:pPr>
            <w:r>
              <w:rPr>
                <w:color w:val="000000"/>
                <w:sz w:val="22"/>
                <w:szCs w:val="22"/>
                <w:lang w:val="vi-VN"/>
              </w:rPr>
              <w:t>- Chủ tịch, các PCT UBND tỉnh;</w:t>
            </w:r>
          </w:p>
          <w:p w:rsidR="00187F1C" w:rsidRDefault="00422858">
            <w:pPr>
              <w:jc w:val="both"/>
              <w:rPr>
                <w:color w:val="000000"/>
                <w:sz w:val="22"/>
                <w:szCs w:val="22"/>
                <w:lang w:val="vi-VN"/>
              </w:rPr>
            </w:pPr>
            <w:r>
              <w:rPr>
                <w:color w:val="000000"/>
                <w:sz w:val="22"/>
                <w:szCs w:val="22"/>
                <w:lang w:val="vi-VN"/>
              </w:rPr>
              <w:t>- V</w:t>
            </w:r>
            <w:r>
              <w:rPr>
                <w:rFonts w:hint="eastAsia"/>
                <w:color w:val="000000"/>
                <w:sz w:val="22"/>
                <w:szCs w:val="22"/>
                <w:lang w:val="vi-VN"/>
              </w:rPr>
              <w:t>ă</w:t>
            </w:r>
            <w:r>
              <w:rPr>
                <w:color w:val="000000"/>
                <w:sz w:val="22"/>
                <w:szCs w:val="22"/>
                <w:lang w:val="vi-VN"/>
              </w:rPr>
              <w:t xml:space="preserve">n phòng </w:t>
            </w:r>
            <w:r>
              <w:rPr>
                <w:rFonts w:hint="eastAsia"/>
                <w:color w:val="000000"/>
                <w:sz w:val="22"/>
                <w:szCs w:val="22"/>
                <w:lang w:val="vi-VN"/>
              </w:rPr>
              <w:t>Đ</w:t>
            </w:r>
            <w:r>
              <w:rPr>
                <w:color w:val="000000"/>
                <w:sz w:val="22"/>
                <w:szCs w:val="22"/>
                <w:lang w:val="vi-VN"/>
              </w:rPr>
              <w:t xml:space="preserve">oàn </w:t>
            </w:r>
            <w:r>
              <w:rPr>
                <w:rFonts w:hint="eastAsia"/>
                <w:color w:val="000000"/>
                <w:sz w:val="22"/>
                <w:szCs w:val="22"/>
                <w:lang w:val="vi-VN"/>
              </w:rPr>
              <w:t>Đ</w:t>
            </w:r>
            <w:r>
              <w:rPr>
                <w:color w:val="000000"/>
                <w:sz w:val="22"/>
                <w:szCs w:val="22"/>
                <w:lang w:val="vi-VN"/>
              </w:rPr>
              <w:t>BQH&amp;H</w:t>
            </w:r>
            <w:r>
              <w:rPr>
                <w:rFonts w:hint="eastAsia"/>
                <w:color w:val="000000"/>
                <w:sz w:val="22"/>
                <w:szCs w:val="22"/>
                <w:lang w:val="vi-VN"/>
              </w:rPr>
              <w:t>Đ</w:t>
            </w:r>
            <w:r>
              <w:rPr>
                <w:color w:val="000000"/>
                <w:sz w:val="22"/>
                <w:szCs w:val="22"/>
                <w:lang w:val="vi-VN"/>
              </w:rPr>
              <w:t>ND tỉnh;</w:t>
            </w:r>
          </w:p>
          <w:p w:rsidR="00187F1C" w:rsidRDefault="00422858">
            <w:pPr>
              <w:jc w:val="both"/>
              <w:rPr>
                <w:color w:val="000000"/>
                <w:sz w:val="22"/>
                <w:szCs w:val="22"/>
                <w:lang w:val="vi-VN"/>
              </w:rPr>
            </w:pPr>
            <w:r>
              <w:rPr>
                <w:color w:val="000000"/>
                <w:sz w:val="22"/>
                <w:szCs w:val="22"/>
                <w:lang w:val="vi-VN"/>
              </w:rPr>
              <w:t xml:space="preserve">- Lãnh </w:t>
            </w:r>
            <w:r>
              <w:rPr>
                <w:rFonts w:hint="eastAsia"/>
                <w:color w:val="000000"/>
                <w:sz w:val="22"/>
                <w:szCs w:val="22"/>
                <w:lang w:val="vi-VN"/>
              </w:rPr>
              <w:t>đ</w:t>
            </w:r>
            <w:r>
              <w:rPr>
                <w:color w:val="000000"/>
                <w:sz w:val="22"/>
                <w:szCs w:val="22"/>
                <w:lang w:val="vi-VN"/>
              </w:rPr>
              <w:t>ạo VP</w:t>
            </w:r>
            <w:r>
              <w:rPr>
                <w:color w:val="000000"/>
                <w:sz w:val="22"/>
                <w:szCs w:val="22"/>
              </w:rPr>
              <w:t xml:space="preserve"> </w:t>
            </w:r>
            <w:r>
              <w:rPr>
                <w:color w:val="000000"/>
                <w:sz w:val="22"/>
                <w:szCs w:val="22"/>
                <w:lang w:val="vi-VN"/>
              </w:rPr>
              <w:t>UBND tỉnh;</w:t>
            </w:r>
          </w:p>
          <w:p w:rsidR="00187F1C" w:rsidRDefault="00422858">
            <w:pPr>
              <w:jc w:val="both"/>
              <w:rPr>
                <w:color w:val="000000"/>
                <w:sz w:val="22"/>
                <w:szCs w:val="22"/>
                <w:lang w:val="vi-VN"/>
              </w:rPr>
            </w:pPr>
            <w:r>
              <w:rPr>
                <w:color w:val="000000"/>
                <w:sz w:val="22"/>
                <w:szCs w:val="22"/>
                <w:lang w:val="vi-VN"/>
              </w:rPr>
              <w:t xml:space="preserve">- Các Sở: Y tế; Tài chính, Tư pháp, Nội vụ; </w:t>
            </w:r>
          </w:p>
          <w:p w:rsidR="00187F1C" w:rsidRDefault="00422858">
            <w:pPr>
              <w:jc w:val="both"/>
              <w:rPr>
                <w:color w:val="000000"/>
                <w:vertAlign w:val="subscript"/>
              </w:rPr>
            </w:pPr>
            <w:r>
              <w:rPr>
                <w:color w:val="000000"/>
                <w:sz w:val="22"/>
                <w:szCs w:val="22"/>
                <w:lang w:val="vi-VN"/>
              </w:rPr>
              <w:t>- L</w:t>
            </w:r>
            <w:r>
              <w:rPr>
                <w:rFonts w:hint="eastAsia"/>
                <w:color w:val="000000"/>
                <w:sz w:val="22"/>
                <w:szCs w:val="22"/>
                <w:lang w:val="vi-VN"/>
              </w:rPr>
              <w:t>ư</w:t>
            </w:r>
            <w:r>
              <w:rPr>
                <w:color w:val="000000"/>
                <w:sz w:val="22"/>
                <w:szCs w:val="22"/>
                <w:lang w:val="vi-VN"/>
              </w:rPr>
              <w:t>u: VT, V</w:t>
            </w:r>
            <w:r>
              <w:rPr>
                <w:color w:val="000000"/>
                <w:sz w:val="22"/>
                <w:szCs w:val="22"/>
              </w:rPr>
              <w:t>HXH</w:t>
            </w:r>
            <w:r>
              <w:rPr>
                <w:color w:val="000000"/>
                <w:sz w:val="22"/>
                <w:szCs w:val="22"/>
                <w:vertAlign w:val="subscript"/>
              </w:rPr>
              <w:t>BTXH</w:t>
            </w:r>
          </w:p>
        </w:tc>
        <w:tc>
          <w:tcPr>
            <w:tcW w:w="4644" w:type="dxa"/>
          </w:tcPr>
          <w:p w:rsidR="00187F1C" w:rsidRDefault="00422858">
            <w:pPr>
              <w:spacing w:before="60" w:line="340" w:lineRule="exact"/>
              <w:jc w:val="center"/>
              <w:rPr>
                <w:b/>
                <w:spacing w:val="-6"/>
                <w:lang w:val="vi-VN"/>
              </w:rPr>
            </w:pPr>
            <w:r>
              <w:rPr>
                <w:b/>
                <w:spacing w:val="-6"/>
                <w:lang w:val="vi-VN"/>
              </w:rPr>
              <w:t>TM. UỶ BAN NHÂN DÂN</w:t>
            </w:r>
          </w:p>
          <w:p w:rsidR="00187F1C" w:rsidRDefault="00422858">
            <w:pPr>
              <w:spacing w:line="340" w:lineRule="exact"/>
              <w:jc w:val="center"/>
              <w:rPr>
                <w:b/>
                <w:spacing w:val="-6"/>
                <w:lang w:val="vi-VN"/>
              </w:rPr>
            </w:pPr>
            <w:r>
              <w:rPr>
                <w:b/>
                <w:spacing w:val="-6"/>
                <w:lang w:val="vi-VN"/>
              </w:rPr>
              <w:t>CHỦ TỊCH</w:t>
            </w:r>
          </w:p>
          <w:p w:rsidR="00187F1C" w:rsidRDefault="00187F1C">
            <w:pPr>
              <w:spacing w:line="340" w:lineRule="exact"/>
              <w:jc w:val="center"/>
              <w:rPr>
                <w:b/>
                <w:spacing w:val="-6"/>
                <w:lang w:val="vi-VN"/>
              </w:rPr>
            </w:pPr>
          </w:p>
          <w:p w:rsidR="00187F1C" w:rsidRDefault="00187F1C">
            <w:pPr>
              <w:spacing w:line="340" w:lineRule="exact"/>
              <w:jc w:val="center"/>
              <w:rPr>
                <w:b/>
                <w:spacing w:val="-6"/>
                <w:lang w:val="vi-VN"/>
              </w:rPr>
            </w:pPr>
          </w:p>
          <w:p w:rsidR="00187F1C" w:rsidRDefault="00187F1C">
            <w:pPr>
              <w:spacing w:line="340" w:lineRule="exact"/>
              <w:rPr>
                <w:b/>
                <w:spacing w:val="-6"/>
              </w:rPr>
            </w:pPr>
          </w:p>
          <w:p w:rsidR="00187F1C" w:rsidRDefault="00187F1C">
            <w:pPr>
              <w:spacing w:line="340" w:lineRule="exact"/>
              <w:rPr>
                <w:b/>
                <w:spacing w:val="-6"/>
              </w:rPr>
            </w:pPr>
          </w:p>
          <w:p w:rsidR="00187F1C" w:rsidRDefault="00187F1C">
            <w:pPr>
              <w:spacing w:line="340" w:lineRule="exact"/>
              <w:rPr>
                <w:b/>
                <w:spacing w:val="-6"/>
              </w:rPr>
            </w:pPr>
          </w:p>
          <w:p w:rsidR="00187F1C" w:rsidRDefault="00187F1C">
            <w:pPr>
              <w:spacing w:line="340" w:lineRule="exact"/>
              <w:rPr>
                <w:b/>
                <w:spacing w:val="-6"/>
              </w:rPr>
            </w:pPr>
          </w:p>
          <w:p w:rsidR="00187F1C" w:rsidRDefault="00187F1C">
            <w:pPr>
              <w:spacing w:line="340" w:lineRule="exact"/>
              <w:jc w:val="center"/>
              <w:rPr>
                <w:b/>
                <w:spacing w:val="-6"/>
                <w:lang w:val="vi-VN"/>
              </w:rPr>
            </w:pPr>
          </w:p>
          <w:p w:rsidR="00187F1C" w:rsidRDefault="00422858">
            <w:pPr>
              <w:spacing w:line="340" w:lineRule="exact"/>
              <w:jc w:val="center"/>
              <w:rPr>
                <w:b/>
              </w:rPr>
            </w:pPr>
            <w:r>
              <w:rPr>
                <w:b/>
              </w:rPr>
              <w:t>Tô Anh Dũng</w:t>
            </w:r>
          </w:p>
        </w:tc>
      </w:tr>
    </w:tbl>
    <w:p w:rsidR="00187F1C" w:rsidRDefault="00187F1C">
      <w:pPr>
        <w:jc w:val="both"/>
        <w:rPr>
          <w:color w:val="000000"/>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sz w:val="4"/>
          <w:szCs w:val="4"/>
        </w:rPr>
      </w:pPr>
    </w:p>
    <w:p w:rsidR="00187F1C" w:rsidRDefault="00187F1C">
      <w:pPr>
        <w:rPr>
          <w:color w:val="000000"/>
          <w:sz w:val="4"/>
          <w:szCs w:val="4"/>
        </w:rPr>
      </w:pPr>
    </w:p>
    <w:sectPr w:rsidR="00187F1C">
      <w:headerReference w:type="default" r:id="rId9"/>
      <w:footerReference w:type="even" r:id="rId10"/>
      <w:footerReference w:type="default" r:id="rId11"/>
      <w:pgSz w:w="11907" w:h="16840" w:code="9"/>
      <w:pgMar w:top="1138" w:right="1138" w:bottom="1138" w:left="1699"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858" w:rsidRDefault="00422858">
      <w:r>
        <w:separator/>
      </w:r>
    </w:p>
  </w:endnote>
  <w:endnote w:type="continuationSeparator" w:id="0">
    <w:p w:rsidR="00422858" w:rsidRDefault="0042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charset w:val="00"/>
    <w:family w:val="swiss"/>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F1C" w:rsidRDefault="004228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87F1C" w:rsidRDefault="00187F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F1C" w:rsidRDefault="00187F1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858" w:rsidRDefault="00422858">
      <w:r>
        <w:separator/>
      </w:r>
    </w:p>
  </w:footnote>
  <w:footnote w:type="continuationSeparator" w:id="0">
    <w:p w:rsidR="00422858" w:rsidRDefault="00422858">
      <w:r>
        <w:continuationSeparator/>
      </w:r>
    </w:p>
  </w:footnote>
  <w:footnote w:id="1">
    <w:p w:rsidR="00187F1C" w:rsidRDefault="00422858">
      <w:pPr>
        <w:pStyle w:val="FootnoteText"/>
        <w:ind w:firstLine="720"/>
        <w:jc w:val="both"/>
      </w:pPr>
      <w:r>
        <w:rPr>
          <w:rStyle w:val="FootnoteReference"/>
        </w:rPr>
        <w:footnoteRef/>
      </w:r>
      <w:r>
        <w:t xml:space="preserve"> Để có cơ sở đề xuất chính sách đối với người cao tuổi, Sở Y tế đã ban hành Kế hoạch số 5384/KH-SYT ngày 11/6/2026 về việc điều tra, rà soát thông tin người cao tuổi trên địa bàn tỉnh Thanh Hóa.</w:t>
      </w:r>
    </w:p>
  </w:footnote>
  <w:footnote w:id="2">
    <w:p w:rsidR="00187F1C" w:rsidRDefault="00422858">
      <w:pPr>
        <w:pStyle w:val="FootnoteText"/>
        <w:ind w:firstLine="720"/>
        <w:jc w:val="both"/>
        <w:rPr>
          <w:spacing w:val="-8"/>
        </w:rPr>
      </w:pPr>
      <w:r>
        <w:rPr>
          <w:rStyle w:val="FootnoteReference"/>
        </w:rPr>
        <w:footnoteRef/>
      </w:r>
      <w:r>
        <w:t xml:space="preserve"> </w:t>
      </w:r>
      <w:r>
        <w:rPr>
          <w:rStyle w:val="fontstyle01"/>
          <w:iCs/>
          <w:sz w:val="20"/>
          <w:szCs w:val="20"/>
        </w:rPr>
        <w:t>Chủ yếu là đối tượng người cao tuổi đang hưởng lương hưu, t</w:t>
      </w:r>
      <w:r>
        <w:rPr>
          <w:rStyle w:val="fontstyle01"/>
          <w:iCs/>
          <w:sz w:val="20"/>
          <w:szCs w:val="20"/>
        </w:rPr>
        <w:t xml:space="preserve">rợ cấp BHXH hằng tháng, trợ cấp xã hội, </w:t>
      </w:r>
      <w:r>
        <w:rPr>
          <w:rStyle w:val="fontstyle01"/>
          <w:iCs/>
          <w:spacing w:val="-8"/>
          <w:sz w:val="20"/>
          <w:szCs w:val="20"/>
        </w:rPr>
        <w:t>trợ cấp hưu trí xã hội hàng tháng và thuộc đối tượng được nhà nước hỗ trợ đóng bảo hiểm y tế (hộ nghèo, hộ cận nghèo…).</w:t>
      </w:r>
    </w:p>
  </w:footnote>
  <w:footnote w:id="3">
    <w:p w:rsidR="00187F1C" w:rsidRDefault="00422858">
      <w:pPr>
        <w:pStyle w:val="FootnoteText"/>
        <w:ind w:firstLine="720"/>
        <w:jc w:val="both"/>
        <w:rPr>
          <w:i/>
        </w:rPr>
      </w:pPr>
      <w:r>
        <w:rPr>
          <w:rStyle w:val="FootnoteReference"/>
        </w:rPr>
        <w:footnoteRef/>
      </w:r>
      <w:r>
        <w:t xml:space="preserve"> Theo quy định tại điểm b khoản 1 Điều 2 Nghị định số 176/2025/NĐ-CP ngày 30/6/2025 của Chính p</w:t>
      </w:r>
      <w:r>
        <w:t xml:space="preserve">hủ quy định: Người từ đủ 75 tuổi trở lên </w:t>
      </w:r>
      <w:r>
        <w:rPr>
          <w:color w:val="000000"/>
          <w:shd w:val="clear" w:color="auto" w:fill="FFFFFF"/>
        </w:rPr>
        <w:t xml:space="preserve">không hưởng lương hưu hoặc trợ cấp bảo hiểm xã hội hằng tháng  thì được hưởng trợ cấp hưu trí xã hội hằng tháng và được nhà nước hỗ trợ 100% mức đóng BHYT </w:t>
      </w:r>
      <w:r>
        <w:rPr>
          <w:i/>
          <w:color w:val="000000"/>
          <w:shd w:val="clear" w:color="auto" w:fill="FFFFFF"/>
        </w:rPr>
        <w:t xml:space="preserve">(quy định tại Công văn số 5622/BYT-BH ngày 21/8/2025 của Bộ </w:t>
      </w:r>
      <w:r>
        <w:rPr>
          <w:i/>
          <w:color w:val="000000"/>
          <w:shd w:val="clear" w:color="auto" w:fill="FFFFFF"/>
        </w:rPr>
        <w:t>Y tế).</w:t>
      </w:r>
    </w:p>
  </w:footnote>
  <w:footnote w:id="4">
    <w:p w:rsidR="00187F1C" w:rsidRDefault="00422858">
      <w:pPr>
        <w:pStyle w:val="FootnoteText"/>
        <w:ind w:firstLine="720"/>
        <w:jc w:val="both"/>
      </w:pPr>
      <w:r>
        <w:rPr>
          <w:rStyle w:val="FootnoteReference"/>
        </w:rPr>
        <w:footnoteRef/>
      </w:r>
      <w:r>
        <w:t xml:space="preserve"> T</w:t>
      </w:r>
      <w:r>
        <w:rPr>
          <w:rStyle w:val="fontstyle01"/>
          <w:iCs/>
          <w:sz w:val="20"/>
          <w:szCs w:val="20"/>
        </w:rPr>
        <w:t>heo quy định tại điểm d khoản 4 Điều 12 Luật bảo hiểm y tế và điểm e khoản 6 Điều 6 Nghị định số 188/2025/NĐ-CP ngày 01/7/2025 của Chính phủ quy định chi tiết và hướng dẫn thi hành một số điều của Luật Bảo hiểm y tế</w:t>
      </w:r>
    </w:p>
  </w:footnote>
  <w:footnote w:id="5">
    <w:p w:rsidR="00187F1C" w:rsidRDefault="00422858">
      <w:pPr>
        <w:pStyle w:val="FootnoteText"/>
        <w:ind w:firstLine="720"/>
      </w:pPr>
      <w:r>
        <w:rPr>
          <w:rStyle w:val="FootnoteReference"/>
        </w:rPr>
        <w:footnoteRef/>
      </w:r>
      <w:r>
        <w:t xml:space="preserve"> Theo </w:t>
      </w:r>
      <w:r>
        <w:rPr>
          <w:color w:val="000000"/>
          <w:shd w:val="clear" w:color="auto" w:fill="FFFFFF"/>
        </w:rPr>
        <w:t>Nghị quyết số 47/NQ-HĐN</w:t>
      </w:r>
      <w:r>
        <w:rPr>
          <w:color w:val="000000"/>
          <w:shd w:val="clear" w:color="auto" w:fill="FFFFFF"/>
        </w:rPr>
        <w:t>D ngày 27/5/2026 của HĐND tỉnh Thanh Hóa về việc thông qua Đề án phát triển ngành y tế tỉnh Thanh Hóa giai đoạn 2026-2030, định hướng đến năm 2035.</w:t>
      </w:r>
    </w:p>
  </w:footnote>
  <w:footnote w:id="6">
    <w:p w:rsidR="00187F1C" w:rsidRDefault="00422858">
      <w:pPr>
        <w:pStyle w:val="FootnoteText"/>
        <w:ind w:firstLine="720"/>
        <w:jc w:val="both"/>
      </w:pPr>
      <w:r>
        <w:rPr>
          <w:rStyle w:val="FootnoteReference"/>
        </w:rPr>
        <w:footnoteRef/>
      </w:r>
      <w:r>
        <w:t xml:space="preserve"> Lý do đề xuất đối tượng áp dụng người cao tuổi từ đủ 60 đến dưới 75 tuổi để đảm bảo bao phủ 100% người cao</w:t>
      </w:r>
      <w:r>
        <w:t xml:space="preserve"> tuổi trên địa bàn tỉnh có thẻ BHYT vì đối tượng người cao tuổi từ đủ 75 tuổi trở lên trường hợp hợp không có lương hưu, trợ cấp BHXH hằng tháng đã được hưởng chính sách trợ cấp hưu trí xã hội theo NĐ số 176/2025/NĐ-CP. </w:t>
      </w:r>
    </w:p>
  </w:footnote>
  <w:footnote w:id="7">
    <w:p w:rsidR="00187F1C" w:rsidRDefault="00422858">
      <w:pPr>
        <w:pStyle w:val="FootnoteText"/>
        <w:ind w:firstLine="720"/>
        <w:jc w:val="both"/>
      </w:pPr>
      <w:r>
        <w:rPr>
          <w:rStyle w:val="FootnoteReference"/>
        </w:rPr>
        <w:footnoteRef/>
      </w:r>
      <w:r>
        <w:t xml:space="preserve"> (1) Phương án thứ nhất: Hỗ trợ 70</w:t>
      </w:r>
      <w:r>
        <w:t xml:space="preserve">% mức đóng BHYT cho NCT từ đủ 60 tuổi đến dưới 70 tuổi và 85% mức đóng BHYT đối với NCT từ đủ 70 tuổi đến dưới 75 tuổi với tổng kinh phí dự kiến là </w:t>
      </w:r>
      <w:r>
        <w:rPr>
          <w:b/>
        </w:rPr>
        <w:t>147 tỷ/năm</w:t>
      </w:r>
      <w:r>
        <w:t>; (2) Phương án thứ 2: Hỗ trợ 100% mức đóng BHYT cho NCT từ đủ 60 tuổi đến dưới 75 tuổi với tổng k</w:t>
      </w:r>
      <w:r>
        <w:t xml:space="preserve">inh phí dự kiến là </w:t>
      </w:r>
      <w:r>
        <w:rPr>
          <w:b/>
        </w:rPr>
        <w:t>207 tỷ/năm</w:t>
      </w:r>
      <w:r>
        <w:t xml:space="preserve">; (3) Phương án 3: Hỗ trợ 85% mức đóng BHYT cho NCT từ đủ 70 tuổi đến dưới 75 tuổi với tổng kinh phí dự kiến là </w:t>
      </w:r>
      <w:r>
        <w:rPr>
          <w:b/>
        </w:rPr>
        <w:t>38 tỷ/năm</w:t>
      </w:r>
      <w:r>
        <w:t xml:space="preserve"> (có bảng so sánh các phương án kèm theo).</w:t>
      </w:r>
    </w:p>
  </w:footnote>
  <w:footnote w:id="8">
    <w:p w:rsidR="00187F1C" w:rsidRDefault="00422858">
      <w:pPr>
        <w:pStyle w:val="FootnoteText"/>
        <w:ind w:firstLine="720"/>
        <w:jc w:val="both"/>
      </w:pPr>
      <w:r>
        <w:rPr>
          <w:rStyle w:val="FootnoteReference"/>
        </w:rPr>
        <w:footnoteRef/>
      </w:r>
      <w:r>
        <w:t xml:space="preserve"> Thành phố Hà Nội: hỗ trợ 100% mức đóng BHYT cho NCT từ đủ 60 </w:t>
      </w:r>
      <w:r>
        <w:t xml:space="preserve">tuổi đến dưới 75 tuổi (Nghị quyết số 17/2026/NQ-HĐND ngày 02/6/2026); tỉnh Hưng Yên: hỗ trợ 100% mức đóng BHYT cho NCT từ đủ 60 tuổi đến dưới 75 tuổi (Nghị quyết số 818/2025/NQ-HĐND ngày 23/12/2025); tỉnh Bắc Ninh:  hỗ trợ 100% mức đóng BHYT cho NCT từ đủ </w:t>
      </w:r>
      <w:r>
        <w:t>60 tuổi đến dưới 75 tuổi (Nghị quyết số 99/2025/NQ-HĐND ngày 10/12/2025); Thành phố Hồ Chí Minh: hỗ trợ 100% mức đóng BHYT cho NCT từ đủ 60 tuổi đến dưới 75 tuổi (Nghị quyết số 56/2025/NQ-HĐND ngày 14/11/2025); Thành phố Hải Phòng: hỗ trợ 100% mức đóng BHY</w:t>
      </w:r>
      <w:r>
        <w:t>T cho NCT từ đủ 60 tuổi đến dưới 74 tuổi (Nghị quyết số 57/2025/NQ-HĐND ngày 11/12/2025); tỉnh Ninh Bình: hỗ trợ 100% mức đóng BHYT cho NCT từ đủ 70 đến dưới 75 tuổi ( Nghị quyết số 25/2025/NQ-HĐND)….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F1C" w:rsidRDefault="00422858">
    <w:pPr>
      <w:pStyle w:val="Header"/>
      <w:jc w:val="center"/>
    </w:pPr>
    <w:r>
      <w:fldChar w:fldCharType="begin"/>
    </w:r>
    <w:r>
      <w:instrText xml:space="preserve"> PAGE   \* MERGEFORMAT </w:instrText>
    </w:r>
    <w:r>
      <w:fldChar w:fldCharType="separate"/>
    </w:r>
    <w:r w:rsidR="00CB64C9">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0E11"/>
    <w:multiLevelType w:val="hybridMultilevel"/>
    <w:tmpl w:val="49140362"/>
    <w:lvl w:ilvl="0" w:tplc="76F40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1C2B43"/>
    <w:multiLevelType w:val="hybridMultilevel"/>
    <w:tmpl w:val="DA6870EA"/>
    <w:lvl w:ilvl="0" w:tplc="779625A6">
      <w:start w:val="2"/>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nsid w:val="07B96407"/>
    <w:multiLevelType w:val="hybridMultilevel"/>
    <w:tmpl w:val="FB56A1CC"/>
    <w:lvl w:ilvl="0" w:tplc="85DE33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DE0EBE"/>
    <w:multiLevelType w:val="hybridMultilevel"/>
    <w:tmpl w:val="4948D99A"/>
    <w:lvl w:ilvl="0" w:tplc="22404B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973F1B"/>
    <w:multiLevelType w:val="hybridMultilevel"/>
    <w:tmpl w:val="053ABB44"/>
    <w:lvl w:ilvl="0" w:tplc="B9628D0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A9D6089"/>
    <w:multiLevelType w:val="hybridMultilevel"/>
    <w:tmpl w:val="7F986D6A"/>
    <w:lvl w:ilvl="0" w:tplc="0BA89B9E">
      <w:numFmt w:val="bullet"/>
      <w:lvlText w:val="-"/>
      <w:lvlJc w:val="left"/>
      <w:pPr>
        <w:tabs>
          <w:tab w:val="num" w:pos="2955"/>
        </w:tabs>
        <w:ind w:left="2955" w:hanging="360"/>
      </w:pPr>
      <w:rPr>
        <w:rFonts w:ascii="Times New Roman" w:eastAsia="Times New Roman" w:hAnsi="Times New Roman" w:cs="Times New Roman" w:hint="default"/>
      </w:rPr>
    </w:lvl>
    <w:lvl w:ilvl="1" w:tplc="04090003" w:tentative="1">
      <w:start w:val="1"/>
      <w:numFmt w:val="bullet"/>
      <w:lvlText w:val="o"/>
      <w:lvlJc w:val="left"/>
      <w:pPr>
        <w:tabs>
          <w:tab w:val="num" w:pos="3675"/>
        </w:tabs>
        <w:ind w:left="3675" w:hanging="360"/>
      </w:pPr>
      <w:rPr>
        <w:rFonts w:ascii="Courier New" w:hAnsi="Courier New" w:cs="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cs="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cs="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6">
    <w:nsid w:val="0FA55307"/>
    <w:multiLevelType w:val="hybridMultilevel"/>
    <w:tmpl w:val="28D03BDC"/>
    <w:lvl w:ilvl="0" w:tplc="E34A305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FAB383B"/>
    <w:multiLevelType w:val="hybridMultilevel"/>
    <w:tmpl w:val="0D28069C"/>
    <w:lvl w:ilvl="0" w:tplc="913056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30131A9"/>
    <w:multiLevelType w:val="hybridMultilevel"/>
    <w:tmpl w:val="4704C0DA"/>
    <w:lvl w:ilvl="0" w:tplc="4E1CE82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19D8318E"/>
    <w:multiLevelType w:val="hybridMultilevel"/>
    <w:tmpl w:val="3638819C"/>
    <w:lvl w:ilvl="0" w:tplc="FA0C651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23740D3"/>
    <w:multiLevelType w:val="hybridMultilevel"/>
    <w:tmpl w:val="00ECD76C"/>
    <w:lvl w:ilvl="0" w:tplc="0AC462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41011A"/>
    <w:multiLevelType w:val="multilevel"/>
    <w:tmpl w:val="2C41011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2EE83E64"/>
    <w:multiLevelType w:val="hybridMultilevel"/>
    <w:tmpl w:val="D1960A6E"/>
    <w:lvl w:ilvl="0" w:tplc="7ACEBB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6761C41"/>
    <w:multiLevelType w:val="multilevel"/>
    <w:tmpl w:val="52B8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3608EF"/>
    <w:multiLevelType w:val="hybridMultilevel"/>
    <w:tmpl w:val="F5681FD4"/>
    <w:lvl w:ilvl="0" w:tplc="826E26C0">
      <w:numFmt w:val="bullet"/>
      <w:lvlText w:val="-"/>
      <w:lvlJc w:val="left"/>
      <w:pPr>
        <w:ind w:left="256" w:hanging="360"/>
      </w:pPr>
      <w:rPr>
        <w:rFonts w:ascii="Times New Roman" w:eastAsia="Times New Roman" w:hAnsi="Times New Roman" w:cs="Times New Roman" w:hint="default"/>
      </w:rPr>
    </w:lvl>
    <w:lvl w:ilvl="1" w:tplc="04090003" w:tentative="1">
      <w:start w:val="1"/>
      <w:numFmt w:val="bullet"/>
      <w:lvlText w:val="o"/>
      <w:lvlJc w:val="left"/>
      <w:pPr>
        <w:ind w:left="976" w:hanging="360"/>
      </w:pPr>
      <w:rPr>
        <w:rFonts w:ascii="Courier New" w:hAnsi="Courier New" w:cs="Courier New" w:hint="default"/>
      </w:rPr>
    </w:lvl>
    <w:lvl w:ilvl="2" w:tplc="04090005" w:tentative="1">
      <w:start w:val="1"/>
      <w:numFmt w:val="bullet"/>
      <w:lvlText w:val=""/>
      <w:lvlJc w:val="left"/>
      <w:pPr>
        <w:ind w:left="1696" w:hanging="360"/>
      </w:pPr>
      <w:rPr>
        <w:rFonts w:ascii="Wingdings" w:hAnsi="Wingdings" w:hint="default"/>
      </w:rPr>
    </w:lvl>
    <w:lvl w:ilvl="3" w:tplc="04090001" w:tentative="1">
      <w:start w:val="1"/>
      <w:numFmt w:val="bullet"/>
      <w:lvlText w:val=""/>
      <w:lvlJc w:val="left"/>
      <w:pPr>
        <w:ind w:left="2416" w:hanging="360"/>
      </w:pPr>
      <w:rPr>
        <w:rFonts w:ascii="Symbol" w:hAnsi="Symbol" w:hint="default"/>
      </w:rPr>
    </w:lvl>
    <w:lvl w:ilvl="4" w:tplc="04090003" w:tentative="1">
      <w:start w:val="1"/>
      <w:numFmt w:val="bullet"/>
      <w:lvlText w:val="o"/>
      <w:lvlJc w:val="left"/>
      <w:pPr>
        <w:ind w:left="3136" w:hanging="360"/>
      </w:pPr>
      <w:rPr>
        <w:rFonts w:ascii="Courier New" w:hAnsi="Courier New" w:cs="Courier New" w:hint="default"/>
      </w:rPr>
    </w:lvl>
    <w:lvl w:ilvl="5" w:tplc="04090005" w:tentative="1">
      <w:start w:val="1"/>
      <w:numFmt w:val="bullet"/>
      <w:lvlText w:val=""/>
      <w:lvlJc w:val="left"/>
      <w:pPr>
        <w:ind w:left="3856" w:hanging="360"/>
      </w:pPr>
      <w:rPr>
        <w:rFonts w:ascii="Wingdings" w:hAnsi="Wingdings" w:hint="default"/>
      </w:rPr>
    </w:lvl>
    <w:lvl w:ilvl="6" w:tplc="04090001" w:tentative="1">
      <w:start w:val="1"/>
      <w:numFmt w:val="bullet"/>
      <w:lvlText w:val=""/>
      <w:lvlJc w:val="left"/>
      <w:pPr>
        <w:ind w:left="4576" w:hanging="360"/>
      </w:pPr>
      <w:rPr>
        <w:rFonts w:ascii="Symbol" w:hAnsi="Symbol" w:hint="default"/>
      </w:rPr>
    </w:lvl>
    <w:lvl w:ilvl="7" w:tplc="04090003" w:tentative="1">
      <w:start w:val="1"/>
      <w:numFmt w:val="bullet"/>
      <w:lvlText w:val="o"/>
      <w:lvlJc w:val="left"/>
      <w:pPr>
        <w:ind w:left="5296" w:hanging="360"/>
      </w:pPr>
      <w:rPr>
        <w:rFonts w:ascii="Courier New" w:hAnsi="Courier New" w:cs="Courier New" w:hint="default"/>
      </w:rPr>
    </w:lvl>
    <w:lvl w:ilvl="8" w:tplc="04090005" w:tentative="1">
      <w:start w:val="1"/>
      <w:numFmt w:val="bullet"/>
      <w:lvlText w:val=""/>
      <w:lvlJc w:val="left"/>
      <w:pPr>
        <w:ind w:left="6016" w:hanging="360"/>
      </w:pPr>
      <w:rPr>
        <w:rFonts w:ascii="Wingdings" w:hAnsi="Wingdings" w:hint="default"/>
      </w:rPr>
    </w:lvl>
  </w:abstractNum>
  <w:abstractNum w:abstractNumId="15">
    <w:nsid w:val="48826612"/>
    <w:multiLevelType w:val="hybridMultilevel"/>
    <w:tmpl w:val="61FEA7F8"/>
    <w:lvl w:ilvl="0" w:tplc="60D8CB00">
      <w:start w:val="2"/>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ABF3EE9"/>
    <w:multiLevelType w:val="hybridMultilevel"/>
    <w:tmpl w:val="95683F80"/>
    <w:lvl w:ilvl="0" w:tplc="62A257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52B7007D"/>
    <w:multiLevelType w:val="hybridMultilevel"/>
    <w:tmpl w:val="EF669D62"/>
    <w:lvl w:ilvl="0" w:tplc="5F08146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43D7EC5"/>
    <w:multiLevelType w:val="hybridMultilevel"/>
    <w:tmpl w:val="9E96552C"/>
    <w:lvl w:ilvl="0" w:tplc="0B18ED2E">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5B482969"/>
    <w:multiLevelType w:val="multilevel"/>
    <w:tmpl w:val="C604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B06DBE"/>
    <w:multiLevelType w:val="hybridMultilevel"/>
    <w:tmpl w:val="677C891C"/>
    <w:lvl w:ilvl="0" w:tplc="C152F7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9B67A0"/>
    <w:multiLevelType w:val="hybridMultilevel"/>
    <w:tmpl w:val="3586DA00"/>
    <w:lvl w:ilvl="0" w:tplc="D260221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nsid w:val="72A62677"/>
    <w:multiLevelType w:val="hybridMultilevel"/>
    <w:tmpl w:val="CE1474D8"/>
    <w:lvl w:ilvl="0" w:tplc="F2D4597E">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3">
    <w:nsid w:val="74AE14A2"/>
    <w:multiLevelType w:val="hybridMultilevel"/>
    <w:tmpl w:val="DEF863AC"/>
    <w:lvl w:ilvl="0" w:tplc="C9E840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84B3745"/>
    <w:multiLevelType w:val="hybridMultilevel"/>
    <w:tmpl w:val="A6B84E38"/>
    <w:lvl w:ilvl="0" w:tplc="B360E3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7F0C445F"/>
    <w:multiLevelType w:val="hybridMultilevel"/>
    <w:tmpl w:val="965E2E62"/>
    <w:lvl w:ilvl="0" w:tplc="E4145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9"/>
  </w:num>
  <w:num w:numId="3">
    <w:abstractNumId w:val="4"/>
  </w:num>
  <w:num w:numId="4">
    <w:abstractNumId w:val="14"/>
  </w:num>
  <w:num w:numId="5">
    <w:abstractNumId w:val="22"/>
  </w:num>
  <w:num w:numId="6">
    <w:abstractNumId w:val="25"/>
  </w:num>
  <w:num w:numId="7">
    <w:abstractNumId w:val="16"/>
  </w:num>
  <w:num w:numId="8">
    <w:abstractNumId w:val="10"/>
  </w:num>
  <w:num w:numId="9">
    <w:abstractNumId w:val="20"/>
  </w:num>
  <w:num w:numId="10">
    <w:abstractNumId w:val="2"/>
  </w:num>
  <w:num w:numId="11">
    <w:abstractNumId w:val="3"/>
  </w:num>
  <w:num w:numId="12">
    <w:abstractNumId w:val="7"/>
  </w:num>
  <w:num w:numId="13">
    <w:abstractNumId w:val="6"/>
  </w:num>
  <w:num w:numId="14">
    <w:abstractNumId w:val="23"/>
  </w:num>
  <w:num w:numId="15">
    <w:abstractNumId w:val="12"/>
  </w:num>
  <w:num w:numId="16">
    <w:abstractNumId w:val="21"/>
  </w:num>
  <w:num w:numId="17">
    <w:abstractNumId w:val="18"/>
  </w:num>
  <w:num w:numId="18">
    <w:abstractNumId w:val="24"/>
  </w:num>
  <w:num w:numId="19">
    <w:abstractNumId w:val="8"/>
  </w:num>
  <w:num w:numId="20">
    <w:abstractNumId w:val="19"/>
  </w:num>
  <w:num w:numId="21">
    <w:abstractNumId w:val="11"/>
  </w:num>
  <w:num w:numId="22">
    <w:abstractNumId w:val="13"/>
  </w:num>
  <w:num w:numId="23">
    <w:abstractNumId w:val="15"/>
  </w:num>
  <w:num w:numId="24">
    <w:abstractNumId w:val="17"/>
  </w:num>
  <w:num w:numId="25">
    <w:abstractNumId w:val="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1C"/>
    <w:rsid w:val="00187F1C"/>
    <w:rsid w:val="00422858"/>
    <w:rsid w:val="00CB6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1">
    <w:name w:val="heading 1"/>
    <w:basedOn w:val="Normal"/>
    <w:next w:val="Normal"/>
    <w:qFormat/>
    <w:pPr>
      <w:keepNext/>
      <w:ind w:right="-275" w:firstLine="66"/>
      <w:jc w:val="center"/>
      <w:outlineLvl w:val="0"/>
    </w:pPr>
    <w:rPr>
      <w:rFonts w:ascii=".VnTimeH" w:hAnsi=".VnTimeH" w:cs="Arial"/>
      <w:b/>
      <w:bCs/>
      <w:sz w:val="26"/>
      <w:szCs w:val="24"/>
      <w:lang w:val="pt-BR"/>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8"/>
      <w:szCs w:val="28"/>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aliases w:val="Footnote text,ftref,Footnote Text1,Footnote Text Char Char Char Char Char,Footnote Text Char Char Char Char Char Char Ch Char Char Char,Footnote Text Char Char Char Char Char Char Ch Char Char Char Char Char Char C,f,Footnote,16 Point"/>
    <w:link w:val="RefChar"/>
    <w:qFormat/>
    <w:rPr>
      <w:vertAlign w:val="superscript"/>
    </w:rPr>
  </w:style>
  <w:style w:type="character" w:styleId="Emphasis">
    <w:name w:val="Emphasis"/>
    <w:qFormat/>
    <w:rPr>
      <w:i/>
      <w:iCs/>
    </w:rPr>
  </w:style>
  <w:style w:type="paragraph" w:customStyle="1" w:styleId="text">
    <w:name w:val="text"/>
    <w:basedOn w:val="Normal"/>
    <w:pPr>
      <w:spacing w:before="100" w:beforeAutospacing="1" w:after="100" w:afterAutospacing="1"/>
    </w:pPr>
    <w:rPr>
      <w:sz w:val="24"/>
      <w:szCs w:val="24"/>
    </w:rPr>
  </w:style>
  <w:style w:type="character" w:styleId="Hyperlink">
    <w:name w:val="Hyperlink"/>
    <w:uiPriority w:val="99"/>
    <w:unhideWhenUsed/>
    <w:rPr>
      <w:color w:val="0000FF"/>
      <w:u w:val="single"/>
    </w:rPr>
  </w:style>
  <w:style w:type="character" w:styleId="Strong">
    <w:name w:val="Strong"/>
    <w:uiPriority w:val="22"/>
    <w:qFormat/>
    <w:rPr>
      <w:b/>
      <w:bCs/>
    </w:r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rPr>
      <w:sz w:val="24"/>
      <w:szCs w:val="24"/>
    </w:r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 w:type="character" w:customStyle="1" w:styleId="UnresolvedMention1">
    <w:name w:val="Unresolved Mention1"/>
    <w:uiPriority w:val="99"/>
    <w:semiHidden/>
    <w:unhideWhenUsed/>
    <w:rPr>
      <w:color w:val="605E5C"/>
      <w:shd w:val="clear" w:color="auto" w:fill="E1DFDD"/>
    </w:rPr>
  </w:style>
  <w:style w:type="paragraph" w:customStyle="1" w:styleId="gian2">
    <w:name w:val="gian 2"/>
    <w:basedOn w:val="Normal"/>
    <w:link w:val="gian2Char"/>
    <w:qFormat/>
    <w:pPr>
      <w:spacing w:before="120" w:after="120"/>
      <w:ind w:firstLine="567"/>
      <w:jc w:val="both"/>
    </w:pPr>
    <w:rPr>
      <w:rFonts w:eastAsia="MS Mincho"/>
      <w:sz w:val="26"/>
      <w:szCs w:val="24"/>
      <w:lang w:eastAsia="ja-JP"/>
    </w:rPr>
  </w:style>
  <w:style w:type="character" w:customStyle="1" w:styleId="gian2Char">
    <w:name w:val="gian 2 Char"/>
    <w:link w:val="gian2"/>
    <w:rPr>
      <w:rFonts w:eastAsia="MS Mincho"/>
      <w:sz w:val="26"/>
      <w:szCs w:val="24"/>
      <w:lang w:eastAsia="ja-JP"/>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 New Roman" w:hAnsi="Times New Roman" w:cs="Times New Roman" w:hint="default"/>
      <w:b w:val="0"/>
      <w:bCs w:val="0"/>
      <w:i/>
      <w:iCs/>
      <w:color w:val="000000"/>
      <w:sz w:val="28"/>
      <w:szCs w:val="28"/>
    </w:rPr>
  </w:style>
  <w:style w:type="character" w:customStyle="1" w:styleId="Heading4Char">
    <w:name w:val="Heading 4 Char"/>
    <w:link w:val="Heading4"/>
    <w:semiHidden/>
    <w:rPr>
      <w:rFonts w:ascii="Calibri" w:eastAsia="Times New Roman" w:hAnsi="Calibri" w:cs="Times New Roman"/>
      <w:b/>
      <w:bCs/>
      <w:sz w:val="28"/>
      <w:szCs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pPr>
      <w:ind w:left="720"/>
      <w:contextualSpacing/>
    </w:pPr>
    <w:rPr>
      <w:rFonts w:ascii=".VnTime" w:hAnsi=".VnTime"/>
      <w:szCs w:val="24"/>
    </w:rPr>
  </w:style>
  <w:style w:type="character" w:customStyle="1" w:styleId="whitespace-normal">
    <w:name w:val="whitespace-normal"/>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Ref,4,4_G Char,Footnote Char,callout Char,fr"/>
    <w:basedOn w:val="Normal"/>
    <w:link w:val="FootnoteReference"/>
    <w:qFormat/>
    <w:pPr>
      <w:spacing w:after="160" w:line="240" w:lineRule="exact"/>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1">
    <w:name w:val="heading 1"/>
    <w:basedOn w:val="Normal"/>
    <w:next w:val="Normal"/>
    <w:qFormat/>
    <w:pPr>
      <w:keepNext/>
      <w:ind w:right="-275" w:firstLine="66"/>
      <w:jc w:val="center"/>
      <w:outlineLvl w:val="0"/>
    </w:pPr>
    <w:rPr>
      <w:rFonts w:ascii=".VnTimeH" w:hAnsi=".VnTimeH" w:cs="Arial"/>
      <w:b/>
      <w:bCs/>
      <w:sz w:val="26"/>
      <w:szCs w:val="24"/>
      <w:lang w:val="pt-BR"/>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8"/>
      <w:szCs w:val="28"/>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aliases w:val="Footnote text,ftref,Footnote Text1,Footnote Text Char Char Char Char Char,Footnote Text Char Char Char Char Char Char Ch Char Char Char,Footnote Text Char Char Char Char Char Char Ch Char Char Char Char Char Char C,f,Footnote,16 Point"/>
    <w:link w:val="RefChar"/>
    <w:qFormat/>
    <w:rPr>
      <w:vertAlign w:val="superscript"/>
    </w:rPr>
  </w:style>
  <w:style w:type="character" w:styleId="Emphasis">
    <w:name w:val="Emphasis"/>
    <w:qFormat/>
    <w:rPr>
      <w:i/>
      <w:iCs/>
    </w:rPr>
  </w:style>
  <w:style w:type="paragraph" w:customStyle="1" w:styleId="text">
    <w:name w:val="text"/>
    <w:basedOn w:val="Normal"/>
    <w:pPr>
      <w:spacing w:before="100" w:beforeAutospacing="1" w:after="100" w:afterAutospacing="1"/>
    </w:pPr>
    <w:rPr>
      <w:sz w:val="24"/>
      <w:szCs w:val="24"/>
    </w:rPr>
  </w:style>
  <w:style w:type="character" w:styleId="Hyperlink">
    <w:name w:val="Hyperlink"/>
    <w:uiPriority w:val="99"/>
    <w:unhideWhenUsed/>
    <w:rPr>
      <w:color w:val="0000FF"/>
      <w:u w:val="single"/>
    </w:rPr>
  </w:style>
  <w:style w:type="character" w:styleId="Strong">
    <w:name w:val="Strong"/>
    <w:uiPriority w:val="22"/>
    <w:qFormat/>
    <w:rPr>
      <w:b/>
      <w:bCs/>
    </w:rPr>
  </w:style>
  <w:style w:type="paragraph" w:styleId="NormalWeb">
    <w:name w:val="Normal (Web)"/>
    <w:aliases w:val="webb,Обычный (веб)1,Обычный (веб) Знак,Обычный (веб) Знак1,Обычный (веб) Знак Знак,Char Char,Char Char Char1,Char1 Char,Char Char Char Char Char Char Char Char Char Char Char Char Char Char Char,Char Char Cha,Char Char1,Char Char5"/>
    <w:basedOn w:val="Normal"/>
    <w:link w:val="NormalWebChar"/>
    <w:uiPriority w:val="99"/>
    <w:unhideWhenUsed/>
    <w:qFormat/>
    <w:pPr>
      <w:spacing w:before="100" w:beforeAutospacing="1" w:after="100" w:afterAutospacing="1"/>
    </w:pPr>
    <w:rPr>
      <w:sz w:val="24"/>
      <w:szCs w:val="24"/>
    </w:rPr>
  </w:style>
  <w:style w:type="character" w:customStyle="1" w:styleId="NormalWebChar">
    <w:name w:val="Normal (Web) Char"/>
    <w:aliases w:val="webb Char,Обычный (веб)1 Char,Обычный (веб) Знак Char,Обычный (веб) Знак1 Char,Обычный (веб) Знак Знак Char,Char Char Char,Char Char Char1 Char,Char1 Char Char,Char Char Cha Char,Char Char1 Char,Char Char5 Char"/>
    <w:link w:val="NormalWeb"/>
    <w:uiPriority w:val="99"/>
    <w:locked/>
    <w:rPr>
      <w:sz w:val="24"/>
      <w:szCs w:val="24"/>
    </w:rPr>
  </w:style>
  <w:style w:type="character" w:customStyle="1" w:styleId="UnresolvedMention1">
    <w:name w:val="Unresolved Mention1"/>
    <w:uiPriority w:val="99"/>
    <w:semiHidden/>
    <w:unhideWhenUsed/>
    <w:rPr>
      <w:color w:val="605E5C"/>
      <w:shd w:val="clear" w:color="auto" w:fill="E1DFDD"/>
    </w:rPr>
  </w:style>
  <w:style w:type="paragraph" w:customStyle="1" w:styleId="gian2">
    <w:name w:val="gian 2"/>
    <w:basedOn w:val="Normal"/>
    <w:link w:val="gian2Char"/>
    <w:qFormat/>
    <w:pPr>
      <w:spacing w:before="120" w:after="120"/>
      <w:ind w:firstLine="567"/>
      <w:jc w:val="both"/>
    </w:pPr>
    <w:rPr>
      <w:rFonts w:eastAsia="MS Mincho"/>
      <w:sz w:val="26"/>
      <w:szCs w:val="24"/>
      <w:lang w:eastAsia="ja-JP"/>
    </w:rPr>
  </w:style>
  <w:style w:type="character" w:customStyle="1" w:styleId="gian2Char">
    <w:name w:val="gian 2 Char"/>
    <w:link w:val="gian2"/>
    <w:rPr>
      <w:rFonts w:eastAsia="MS Mincho"/>
      <w:sz w:val="26"/>
      <w:szCs w:val="24"/>
      <w:lang w:eastAsia="ja-JP"/>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 New Roman" w:hAnsi="Times New Roman" w:cs="Times New Roman" w:hint="default"/>
      <w:b w:val="0"/>
      <w:bCs w:val="0"/>
      <w:i/>
      <w:iCs/>
      <w:color w:val="000000"/>
      <w:sz w:val="28"/>
      <w:szCs w:val="28"/>
    </w:rPr>
  </w:style>
  <w:style w:type="character" w:customStyle="1" w:styleId="Heading4Char">
    <w:name w:val="Heading 4 Char"/>
    <w:link w:val="Heading4"/>
    <w:semiHidden/>
    <w:rPr>
      <w:rFonts w:ascii="Calibri" w:eastAsia="Times New Roman" w:hAnsi="Calibri" w:cs="Times New Roman"/>
      <w:b/>
      <w:bCs/>
      <w:sz w:val="28"/>
      <w:szCs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uiPriority w:val="34"/>
    <w:qFormat/>
    <w:pPr>
      <w:ind w:left="720"/>
      <w:contextualSpacing/>
    </w:pPr>
    <w:rPr>
      <w:rFonts w:ascii=".VnTime" w:hAnsi=".VnTime"/>
      <w:szCs w:val="24"/>
    </w:rPr>
  </w:style>
  <w:style w:type="character" w:customStyle="1" w:styleId="whitespace-normal">
    <w:name w:val="whitespace-normal"/>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Ref,4,4_G Char,Footnote Char,callout Char,fr"/>
    <w:basedOn w:val="Normal"/>
    <w:link w:val="FootnoteReference"/>
    <w:qFormat/>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25428">
      <w:bodyDiv w:val="1"/>
      <w:marLeft w:val="0"/>
      <w:marRight w:val="0"/>
      <w:marTop w:val="0"/>
      <w:marBottom w:val="0"/>
      <w:divBdr>
        <w:top w:val="none" w:sz="0" w:space="0" w:color="auto"/>
        <w:left w:val="none" w:sz="0" w:space="0" w:color="auto"/>
        <w:bottom w:val="none" w:sz="0" w:space="0" w:color="auto"/>
        <w:right w:val="none" w:sz="0" w:space="0" w:color="auto"/>
      </w:divBdr>
    </w:div>
    <w:div w:id="249312321">
      <w:bodyDiv w:val="1"/>
      <w:marLeft w:val="0"/>
      <w:marRight w:val="0"/>
      <w:marTop w:val="0"/>
      <w:marBottom w:val="0"/>
      <w:divBdr>
        <w:top w:val="none" w:sz="0" w:space="0" w:color="auto"/>
        <w:left w:val="none" w:sz="0" w:space="0" w:color="auto"/>
        <w:bottom w:val="none" w:sz="0" w:space="0" w:color="auto"/>
        <w:right w:val="none" w:sz="0" w:space="0" w:color="auto"/>
      </w:divBdr>
    </w:div>
    <w:div w:id="638457599">
      <w:bodyDiv w:val="1"/>
      <w:marLeft w:val="0"/>
      <w:marRight w:val="0"/>
      <w:marTop w:val="0"/>
      <w:marBottom w:val="0"/>
      <w:divBdr>
        <w:top w:val="none" w:sz="0" w:space="0" w:color="auto"/>
        <w:left w:val="none" w:sz="0" w:space="0" w:color="auto"/>
        <w:bottom w:val="none" w:sz="0" w:space="0" w:color="auto"/>
        <w:right w:val="none" w:sz="0" w:space="0" w:color="auto"/>
      </w:divBdr>
    </w:div>
    <w:div w:id="648707628">
      <w:bodyDiv w:val="1"/>
      <w:marLeft w:val="0"/>
      <w:marRight w:val="0"/>
      <w:marTop w:val="0"/>
      <w:marBottom w:val="0"/>
      <w:divBdr>
        <w:top w:val="none" w:sz="0" w:space="0" w:color="auto"/>
        <w:left w:val="none" w:sz="0" w:space="0" w:color="auto"/>
        <w:bottom w:val="none" w:sz="0" w:space="0" w:color="auto"/>
        <w:right w:val="none" w:sz="0" w:space="0" w:color="auto"/>
      </w:divBdr>
    </w:div>
    <w:div w:id="696080029">
      <w:bodyDiv w:val="1"/>
      <w:marLeft w:val="0"/>
      <w:marRight w:val="0"/>
      <w:marTop w:val="0"/>
      <w:marBottom w:val="0"/>
      <w:divBdr>
        <w:top w:val="none" w:sz="0" w:space="0" w:color="auto"/>
        <w:left w:val="none" w:sz="0" w:space="0" w:color="auto"/>
        <w:bottom w:val="none" w:sz="0" w:space="0" w:color="auto"/>
        <w:right w:val="none" w:sz="0" w:space="0" w:color="auto"/>
      </w:divBdr>
    </w:div>
    <w:div w:id="1058549197">
      <w:bodyDiv w:val="1"/>
      <w:marLeft w:val="0"/>
      <w:marRight w:val="0"/>
      <w:marTop w:val="0"/>
      <w:marBottom w:val="0"/>
      <w:divBdr>
        <w:top w:val="none" w:sz="0" w:space="0" w:color="auto"/>
        <w:left w:val="none" w:sz="0" w:space="0" w:color="auto"/>
        <w:bottom w:val="none" w:sz="0" w:space="0" w:color="auto"/>
        <w:right w:val="none" w:sz="0" w:space="0" w:color="auto"/>
      </w:divBdr>
    </w:div>
    <w:div w:id="1188179429">
      <w:bodyDiv w:val="1"/>
      <w:marLeft w:val="0"/>
      <w:marRight w:val="0"/>
      <w:marTop w:val="0"/>
      <w:marBottom w:val="0"/>
      <w:divBdr>
        <w:top w:val="none" w:sz="0" w:space="0" w:color="auto"/>
        <w:left w:val="none" w:sz="0" w:space="0" w:color="auto"/>
        <w:bottom w:val="none" w:sz="0" w:space="0" w:color="auto"/>
        <w:right w:val="none" w:sz="0" w:space="0" w:color="auto"/>
      </w:divBdr>
    </w:div>
    <w:div w:id="1212116370">
      <w:bodyDiv w:val="1"/>
      <w:marLeft w:val="0"/>
      <w:marRight w:val="0"/>
      <w:marTop w:val="0"/>
      <w:marBottom w:val="0"/>
      <w:divBdr>
        <w:top w:val="none" w:sz="0" w:space="0" w:color="auto"/>
        <w:left w:val="none" w:sz="0" w:space="0" w:color="auto"/>
        <w:bottom w:val="none" w:sz="0" w:space="0" w:color="auto"/>
        <w:right w:val="none" w:sz="0" w:space="0" w:color="auto"/>
      </w:divBdr>
      <w:divsChild>
        <w:div w:id="1097796933">
          <w:marLeft w:val="0"/>
          <w:marRight w:val="0"/>
          <w:marTop w:val="0"/>
          <w:marBottom w:val="0"/>
          <w:divBdr>
            <w:top w:val="none" w:sz="0" w:space="0" w:color="auto"/>
            <w:left w:val="none" w:sz="0" w:space="0" w:color="auto"/>
            <w:bottom w:val="none" w:sz="0" w:space="0" w:color="auto"/>
            <w:right w:val="none" w:sz="0" w:space="0" w:color="auto"/>
          </w:divBdr>
          <w:divsChild>
            <w:div w:id="676536467">
              <w:marLeft w:val="0"/>
              <w:marRight w:val="0"/>
              <w:marTop w:val="0"/>
              <w:marBottom w:val="0"/>
              <w:divBdr>
                <w:top w:val="none" w:sz="0" w:space="0" w:color="auto"/>
                <w:left w:val="none" w:sz="0" w:space="0" w:color="auto"/>
                <w:bottom w:val="none" w:sz="0" w:space="0" w:color="auto"/>
                <w:right w:val="none" w:sz="0" w:space="0" w:color="auto"/>
              </w:divBdr>
              <w:divsChild>
                <w:div w:id="288097712">
                  <w:marLeft w:val="0"/>
                  <w:marRight w:val="0"/>
                  <w:marTop w:val="0"/>
                  <w:marBottom w:val="0"/>
                  <w:divBdr>
                    <w:top w:val="none" w:sz="0" w:space="0" w:color="auto"/>
                    <w:left w:val="none" w:sz="0" w:space="0" w:color="auto"/>
                    <w:bottom w:val="none" w:sz="0" w:space="0" w:color="auto"/>
                    <w:right w:val="none" w:sz="0" w:space="0" w:color="auto"/>
                  </w:divBdr>
                  <w:divsChild>
                    <w:div w:id="1518040519">
                      <w:marLeft w:val="0"/>
                      <w:marRight w:val="0"/>
                      <w:marTop w:val="0"/>
                      <w:marBottom w:val="0"/>
                      <w:divBdr>
                        <w:top w:val="none" w:sz="0" w:space="0" w:color="auto"/>
                        <w:left w:val="none" w:sz="0" w:space="0" w:color="auto"/>
                        <w:bottom w:val="none" w:sz="0" w:space="0" w:color="auto"/>
                        <w:right w:val="none" w:sz="0" w:space="0" w:color="auto"/>
                      </w:divBdr>
                      <w:divsChild>
                        <w:div w:id="852767246">
                          <w:marLeft w:val="0"/>
                          <w:marRight w:val="0"/>
                          <w:marTop w:val="0"/>
                          <w:marBottom w:val="0"/>
                          <w:divBdr>
                            <w:top w:val="none" w:sz="0" w:space="0" w:color="auto"/>
                            <w:left w:val="none" w:sz="0" w:space="0" w:color="auto"/>
                            <w:bottom w:val="none" w:sz="0" w:space="0" w:color="auto"/>
                            <w:right w:val="none" w:sz="0" w:space="0" w:color="auto"/>
                          </w:divBdr>
                          <w:divsChild>
                            <w:div w:id="906651083">
                              <w:marLeft w:val="0"/>
                              <w:marRight w:val="0"/>
                              <w:marTop w:val="0"/>
                              <w:marBottom w:val="0"/>
                              <w:divBdr>
                                <w:top w:val="none" w:sz="0" w:space="0" w:color="auto"/>
                                <w:left w:val="none" w:sz="0" w:space="0" w:color="auto"/>
                                <w:bottom w:val="none" w:sz="0" w:space="0" w:color="auto"/>
                                <w:right w:val="none" w:sz="0" w:space="0" w:color="auto"/>
                              </w:divBdr>
                              <w:divsChild>
                                <w:div w:id="1634630419">
                                  <w:marLeft w:val="0"/>
                                  <w:marRight w:val="0"/>
                                  <w:marTop w:val="0"/>
                                  <w:marBottom w:val="0"/>
                                  <w:divBdr>
                                    <w:top w:val="none" w:sz="0" w:space="0" w:color="auto"/>
                                    <w:left w:val="none" w:sz="0" w:space="0" w:color="auto"/>
                                    <w:bottom w:val="none" w:sz="0" w:space="0" w:color="auto"/>
                                    <w:right w:val="none" w:sz="0" w:space="0" w:color="auto"/>
                                  </w:divBdr>
                                  <w:divsChild>
                                    <w:div w:id="153424156">
                                      <w:marLeft w:val="0"/>
                                      <w:marRight w:val="0"/>
                                      <w:marTop w:val="0"/>
                                      <w:marBottom w:val="0"/>
                                      <w:divBdr>
                                        <w:top w:val="none" w:sz="0" w:space="0" w:color="auto"/>
                                        <w:left w:val="none" w:sz="0" w:space="0" w:color="auto"/>
                                        <w:bottom w:val="none" w:sz="0" w:space="0" w:color="auto"/>
                                        <w:right w:val="none" w:sz="0" w:space="0" w:color="auto"/>
                                      </w:divBdr>
                                      <w:divsChild>
                                        <w:div w:id="1940018255">
                                          <w:marLeft w:val="0"/>
                                          <w:marRight w:val="0"/>
                                          <w:marTop w:val="0"/>
                                          <w:marBottom w:val="0"/>
                                          <w:divBdr>
                                            <w:top w:val="none" w:sz="0" w:space="0" w:color="auto"/>
                                            <w:left w:val="none" w:sz="0" w:space="0" w:color="auto"/>
                                            <w:bottom w:val="none" w:sz="0" w:space="0" w:color="auto"/>
                                            <w:right w:val="none" w:sz="0" w:space="0" w:color="auto"/>
                                          </w:divBdr>
                                          <w:divsChild>
                                            <w:div w:id="1942057418">
                                              <w:marLeft w:val="0"/>
                                              <w:marRight w:val="0"/>
                                              <w:marTop w:val="0"/>
                                              <w:marBottom w:val="0"/>
                                              <w:divBdr>
                                                <w:top w:val="none" w:sz="0" w:space="0" w:color="auto"/>
                                                <w:left w:val="none" w:sz="0" w:space="0" w:color="auto"/>
                                                <w:bottom w:val="none" w:sz="0" w:space="0" w:color="auto"/>
                                                <w:right w:val="none" w:sz="0" w:space="0" w:color="auto"/>
                                              </w:divBdr>
                                              <w:divsChild>
                                                <w:div w:id="6439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0295797">
          <w:marLeft w:val="0"/>
          <w:marRight w:val="0"/>
          <w:marTop w:val="0"/>
          <w:marBottom w:val="0"/>
          <w:divBdr>
            <w:top w:val="none" w:sz="0" w:space="0" w:color="auto"/>
            <w:left w:val="none" w:sz="0" w:space="0" w:color="auto"/>
            <w:bottom w:val="none" w:sz="0" w:space="0" w:color="auto"/>
            <w:right w:val="none" w:sz="0" w:space="0" w:color="auto"/>
          </w:divBdr>
          <w:divsChild>
            <w:div w:id="1956789615">
              <w:marLeft w:val="0"/>
              <w:marRight w:val="0"/>
              <w:marTop w:val="0"/>
              <w:marBottom w:val="0"/>
              <w:divBdr>
                <w:top w:val="none" w:sz="0" w:space="0" w:color="auto"/>
                <w:left w:val="none" w:sz="0" w:space="0" w:color="auto"/>
                <w:bottom w:val="none" w:sz="0" w:space="0" w:color="auto"/>
                <w:right w:val="none" w:sz="0" w:space="0" w:color="auto"/>
              </w:divBdr>
              <w:divsChild>
                <w:div w:id="636642931">
                  <w:marLeft w:val="0"/>
                  <w:marRight w:val="0"/>
                  <w:marTop w:val="0"/>
                  <w:marBottom w:val="0"/>
                  <w:divBdr>
                    <w:top w:val="none" w:sz="0" w:space="0" w:color="auto"/>
                    <w:left w:val="none" w:sz="0" w:space="0" w:color="auto"/>
                    <w:bottom w:val="none" w:sz="0" w:space="0" w:color="auto"/>
                    <w:right w:val="none" w:sz="0" w:space="0" w:color="auto"/>
                  </w:divBdr>
                  <w:divsChild>
                    <w:div w:id="27024962">
                      <w:marLeft w:val="0"/>
                      <w:marRight w:val="0"/>
                      <w:marTop w:val="0"/>
                      <w:marBottom w:val="0"/>
                      <w:divBdr>
                        <w:top w:val="none" w:sz="0" w:space="0" w:color="auto"/>
                        <w:left w:val="none" w:sz="0" w:space="0" w:color="auto"/>
                        <w:bottom w:val="none" w:sz="0" w:space="0" w:color="auto"/>
                        <w:right w:val="none" w:sz="0" w:space="0" w:color="auto"/>
                      </w:divBdr>
                      <w:divsChild>
                        <w:div w:id="1208100406">
                          <w:marLeft w:val="0"/>
                          <w:marRight w:val="0"/>
                          <w:marTop w:val="0"/>
                          <w:marBottom w:val="0"/>
                          <w:divBdr>
                            <w:top w:val="none" w:sz="0" w:space="0" w:color="auto"/>
                            <w:left w:val="none" w:sz="0" w:space="0" w:color="auto"/>
                            <w:bottom w:val="none" w:sz="0" w:space="0" w:color="auto"/>
                            <w:right w:val="none" w:sz="0" w:space="0" w:color="auto"/>
                          </w:divBdr>
                          <w:divsChild>
                            <w:div w:id="1399521775">
                              <w:marLeft w:val="0"/>
                              <w:marRight w:val="0"/>
                              <w:marTop w:val="0"/>
                              <w:marBottom w:val="0"/>
                              <w:divBdr>
                                <w:top w:val="none" w:sz="0" w:space="0" w:color="auto"/>
                                <w:left w:val="none" w:sz="0" w:space="0" w:color="auto"/>
                                <w:bottom w:val="none" w:sz="0" w:space="0" w:color="auto"/>
                                <w:right w:val="none" w:sz="0" w:space="0" w:color="auto"/>
                              </w:divBdr>
                              <w:divsChild>
                                <w:div w:id="2105688444">
                                  <w:marLeft w:val="0"/>
                                  <w:marRight w:val="0"/>
                                  <w:marTop w:val="0"/>
                                  <w:marBottom w:val="0"/>
                                  <w:divBdr>
                                    <w:top w:val="none" w:sz="0" w:space="0" w:color="auto"/>
                                    <w:left w:val="none" w:sz="0" w:space="0" w:color="auto"/>
                                    <w:bottom w:val="none" w:sz="0" w:space="0" w:color="auto"/>
                                    <w:right w:val="none" w:sz="0" w:space="0" w:color="auto"/>
                                  </w:divBdr>
                                  <w:divsChild>
                                    <w:div w:id="266354032">
                                      <w:marLeft w:val="0"/>
                                      <w:marRight w:val="0"/>
                                      <w:marTop w:val="0"/>
                                      <w:marBottom w:val="0"/>
                                      <w:divBdr>
                                        <w:top w:val="none" w:sz="0" w:space="0" w:color="auto"/>
                                        <w:left w:val="none" w:sz="0" w:space="0" w:color="auto"/>
                                        <w:bottom w:val="none" w:sz="0" w:space="0" w:color="auto"/>
                                        <w:right w:val="none" w:sz="0" w:space="0" w:color="auto"/>
                                      </w:divBdr>
                                      <w:divsChild>
                                        <w:div w:id="297690767">
                                          <w:marLeft w:val="0"/>
                                          <w:marRight w:val="0"/>
                                          <w:marTop w:val="0"/>
                                          <w:marBottom w:val="0"/>
                                          <w:divBdr>
                                            <w:top w:val="none" w:sz="0" w:space="0" w:color="auto"/>
                                            <w:left w:val="none" w:sz="0" w:space="0" w:color="auto"/>
                                            <w:bottom w:val="none" w:sz="0" w:space="0" w:color="auto"/>
                                            <w:right w:val="none" w:sz="0" w:space="0" w:color="auto"/>
                                          </w:divBdr>
                                          <w:divsChild>
                                            <w:div w:id="960958719">
                                              <w:marLeft w:val="0"/>
                                              <w:marRight w:val="0"/>
                                              <w:marTop w:val="0"/>
                                              <w:marBottom w:val="0"/>
                                              <w:divBdr>
                                                <w:top w:val="none" w:sz="0" w:space="0" w:color="auto"/>
                                                <w:left w:val="none" w:sz="0" w:space="0" w:color="auto"/>
                                                <w:bottom w:val="none" w:sz="0" w:space="0" w:color="auto"/>
                                                <w:right w:val="none" w:sz="0" w:space="0" w:color="auto"/>
                                              </w:divBdr>
                                              <w:divsChild>
                                                <w:div w:id="1378234763">
                                                  <w:marLeft w:val="0"/>
                                                  <w:marRight w:val="0"/>
                                                  <w:marTop w:val="0"/>
                                                  <w:marBottom w:val="0"/>
                                                  <w:divBdr>
                                                    <w:top w:val="none" w:sz="0" w:space="0" w:color="auto"/>
                                                    <w:left w:val="none" w:sz="0" w:space="0" w:color="auto"/>
                                                    <w:bottom w:val="none" w:sz="0" w:space="0" w:color="auto"/>
                                                    <w:right w:val="none" w:sz="0" w:space="0" w:color="auto"/>
                                                  </w:divBdr>
                                                  <w:divsChild>
                                                    <w:div w:id="1975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6327275">
      <w:bodyDiv w:val="1"/>
      <w:marLeft w:val="0"/>
      <w:marRight w:val="0"/>
      <w:marTop w:val="0"/>
      <w:marBottom w:val="0"/>
      <w:divBdr>
        <w:top w:val="none" w:sz="0" w:space="0" w:color="auto"/>
        <w:left w:val="none" w:sz="0" w:space="0" w:color="auto"/>
        <w:bottom w:val="none" w:sz="0" w:space="0" w:color="auto"/>
        <w:right w:val="none" w:sz="0" w:space="0" w:color="auto"/>
      </w:divBdr>
    </w:div>
    <w:div w:id="1392077332">
      <w:bodyDiv w:val="1"/>
      <w:marLeft w:val="0"/>
      <w:marRight w:val="0"/>
      <w:marTop w:val="0"/>
      <w:marBottom w:val="0"/>
      <w:divBdr>
        <w:top w:val="none" w:sz="0" w:space="0" w:color="auto"/>
        <w:left w:val="none" w:sz="0" w:space="0" w:color="auto"/>
        <w:bottom w:val="none" w:sz="0" w:space="0" w:color="auto"/>
        <w:right w:val="none" w:sz="0" w:space="0" w:color="auto"/>
      </w:divBdr>
    </w:div>
    <w:div w:id="1440876816">
      <w:bodyDiv w:val="1"/>
      <w:marLeft w:val="0"/>
      <w:marRight w:val="0"/>
      <w:marTop w:val="0"/>
      <w:marBottom w:val="0"/>
      <w:divBdr>
        <w:top w:val="none" w:sz="0" w:space="0" w:color="auto"/>
        <w:left w:val="none" w:sz="0" w:space="0" w:color="auto"/>
        <w:bottom w:val="none" w:sz="0" w:space="0" w:color="auto"/>
        <w:right w:val="none" w:sz="0" w:space="0" w:color="auto"/>
      </w:divBdr>
      <w:divsChild>
        <w:div w:id="1831555244">
          <w:marLeft w:val="0"/>
          <w:marRight w:val="0"/>
          <w:marTop w:val="120"/>
          <w:marBottom w:val="120"/>
          <w:divBdr>
            <w:top w:val="none" w:sz="0" w:space="0" w:color="auto"/>
            <w:left w:val="none" w:sz="0" w:space="0" w:color="auto"/>
            <w:bottom w:val="none" w:sz="0" w:space="0" w:color="auto"/>
            <w:right w:val="none" w:sz="0" w:space="0" w:color="auto"/>
          </w:divBdr>
          <w:divsChild>
            <w:div w:id="1380201345">
              <w:marLeft w:val="75"/>
              <w:marRight w:val="75"/>
              <w:marTop w:val="75"/>
              <w:marBottom w:val="75"/>
              <w:divBdr>
                <w:top w:val="none" w:sz="0" w:space="0" w:color="auto"/>
                <w:left w:val="none" w:sz="0" w:space="0" w:color="auto"/>
                <w:bottom w:val="none" w:sz="0" w:space="0" w:color="auto"/>
                <w:right w:val="none" w:sz="0" w:space="0" w:color="auto"/>
              </w:divBdr>
              <w:divsChild>
                <w:div w:id="1712995574">
                  <w:marLeft w:val="0"/>
                  <w:marRight w:val="0"/>
                  <w:marTop w:val="0"/>
                  <w:marBottom w:val="0"/>
                  <w:divBdr>
                    <w:top w:val="dashed" w:sz="6" w:space="12" w:color="FFBB6A"/>
                    <w:left w:val="dashed" w:sz="6" w:space="12" w:color="FFBB6A"/>
                    <w:bottom w:val="dashed" w:sz="6" w:space="12" w:color="FFBB6A"/>
                    <w:right w:val="dashed" w:sz="6" w:space="12" w:color="FFBB6A"/>
                  </w:divBdr>
                  <w:divsChild>
                    <w:div w:id="52344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860442">
          <w:marLeft w:val="0"/>
          <w:marRight w:val="0"/>
          <w:marTop w:val="120"/>
          <w:marBottom w:val="120"/>
          <w:divBdr>
            <w:top w:val="none" w:sz="0" w:space="0" w:color="auto"/>
            <w:left w:val="none" w:sz="0" w:space="0" w:color="auto"/>
            <w:bottom w:val="none" w:sz="0" w:space="0" w:color="auto"/>
            <w:right w:val="none" w:sz="0" w:space="0" w:color="auto"/>
          </w:divBdr>
        </w:div>
      </w:divsChild>
    </w:div>
    <w:div w:id="1565674993">
      <w:bodyDiv w:val="1"/>
      <w:marLeft w:val="0"/>
      <w:marRight w:val="0"/>
      <w:marTop w:val="0"/>
      <w:marBottom w:val="0"/>
      <w:divBdr>
        <w:top w:val="none" w:sz="0" w:space="0" w:color="auto"/>
        <w:left w:val="none" w:sz="0" w:space="0" w:color="auto"/>
        <w:bottom w:val="none" w:sz="0" w:space="0" w:color="auto"/>
        <w:right w:val="none" w:sz="0" w:space="0" w:color="auto"/>
      </w:divBdr>
      <w:divsChild>
        <w:div w:id="152186809">
          <w:marLeft w:val="0"/>
          <w:marRight w:val="0"/>
          <w:marTop w:val="0"/>
          <w:marBottom w:val="0"/>
          <w:divBdr>
            <w:top w:val="none" w:sz="0" w:space="0" w:color="auto"/>
            <w:left w:val="none" w:sz="0" w:space="0" w:color="auto"/>
            <w:bottom w:val="none" w:sz="0" w:space="0" w:color="auto"/>
            <w:right w:val="none" w:sz="0" w:space="0" w:color="auto"/>
          </w:divBdr>
          <w:divsChild>
            <w:div w:id="703941304">
              <w:marLeft w:val="0"/>
              <w:marRight w:val="0"/>
              <w:marTop w:val="0"/>
              <w:marBottom w:val="0"/>
              <w:divBdr>
                <w:top w:val="none" w:sz="0" w:space="0" w:color="auto"/>
                <w:left w:val="none" w:sz="0" w:space="0" w:color="auto"/>
                <w:bottom w:val="none" w:sz="0" w:space="0" w:color="auto"/>
                <w:right w:val="none" w:sz="0" w:space="0" w:color="auto"/>
              </w:divBdr>
              <w:divsChild>
                <w:div w:id="1776514841">
                  <w:marLeft w:val="0"/>
                  <w:marRight w:val="0"/>
                  <w:marTop w:val="0"/>
                  <w:marBottom w:val="0"/>
                  <w:divBdr>
                    <w:top w:val="none" w:sz="0" w:space="0" w:color="auto"/>
                    <w:left w:val="none" w:sz="0" w:space="0" w:color="auto"/>
                    <w:bottom w:val="none" w:sz="0" w:space="0" w:color="auto"/>
                    <w:right w:val="none" w:sz="0" w:space="0" w:color="auto"/>
                  </w:divBdr>
                  <w:divsChild>
                    <w:div w:id="584264376">
                      <w:marLeft w:val="0"/>
                      <w:marRight w:val="0"/>
                      <w:marTop w:val="0"/>
                      <w:marBottom w:val="0"/>
                      <w:divBdr>
                        <w:top w:val="none" w:sz="0" w:space="0" w:color="auto"/>
                        <w:left w:val="none" w:sz="0" w:space="0" w:color="auto"/>
                        <w:bottom w:val="none" w:sz="0" w:space="0" w:color="auto"/>
                        <w:right w:val="none" w:sz="0" w:space="0" w:color="auto"/>
                      </w:divBdr>
                      <w:divsChild>
                        <w:div w:id="1516925003">
                          <w:marLeft w:val="0"/>
                          <w:marRight w:val="0"/>
                          <w:marTop w:val="0"/>
                          <w:marBottom w:val="0"/>
                          <w:divBdr>
                            <w:top w:val="none" w:sz="0" w:space="0" w:color="auto"/>
                            <w:left w:val="none" w:sz="0" w:space="0" w:color="auto"/>
                            <w:bottom w:val="none" w:sz="0" w:space="0" w:color="auto"/>
                            <w:right w:val="none" w:sz="0" w:space="0" w:color="auto"/>
                          </w:divBdr>
                          <w:divsChild>
                            <w:div w:id="748620623">
                              <w:marLeft w:val="0"/>
                              <w:marRight w:val="0"/>
                              <w:marTop w:val="0"/>
                              <w:marBottom w:val="0"/>
                              <w:divBdr>
                                <w:top w:val="none" w:sz="0" w:space="0" w:color="auto"/>
                                <w:left w:val="none" w:sz="0" w:space="0" w:color="auto"/>
                                <w:bottom w:val="none" w:sz="0" w:space="0" w:color="auto"/>
                                <w:right w:val="none" w:sz="0" w:space="0" w:color="auto"/>
                              </w:divBdr>
                              <w:divsChild>
                                <w:div w:id="333387011">
                                  <w:marLeft w:val="0"/>
                                  <w:marRight w:val="0"/>
                                  <w:marTop w:val="0"/>
                                  <w:marBottom w:val="0"/>
                                  <w:divBdr>
                                    <w:top w:val="none" w:sz="0" w:space="0" w:color="auto"/>
                                    <w:left w:val="none" w:sz="0" w:space="0" w:color="auto"/>
                                    <w:bottom w:val="none" w:sz="0" w:space="0" w:color="auto"/>
                                    <w:right w:val="none" w:sz="0" w:space="0" w:color="auto"/>
                                  </w:divBdr>
                                  <w:divsChild>
                                    <w:div w:id="1629627485">
                                      <w:marLeft w:val="0"/>
                                      <w:marRight w:val="0"/>
                                      <w:marTop w:val="0"/>
                                      <w:marBottom w:val="0"/>
                                      <w:divBdr>
                                        <w:top w:val="none" w:sz="0" w:space="0" w:color="auto"/>
                                        <w:left w:val="none" w:sz="0" w:space="0" w:color="auto"/>
                                        <w:bottom w:val="none" w:sz="0" w:space="0" w:color="auto"/>
                                        <w:right w:val="none" w:sz="0" w:space="0" w:color="auto"/>
                                      </w:divBdr>
                                      <w:divsChild>
                                        <w:div w:id="1826434087">
                                          <w:marLeft w:val="0"/>
                                          <w:marRight w:val="0"/>
                                          <w:marTop w:val="0"/>
                                          <w:marBottom w:val="0"/>
                                          <w:divBdr>
                                            <w:top w:val="none" w:sz="0" w:space="0" w:color="auto"/>
                                            <w:left w:val="none" w:sz="0" w:space="0" w:color="auto"/>
                                            <w:bottom w:val="none" w:sz="0" w:space="0" w:color="auto"/>
                                            <w:right w:val="none" w:sz="0" w:space="0" w:color="auto"/>
                                          </w:divBdr>
                                          <w:divsChild>
                                            <w:div w:id="1307663419">
                                              <w:marLeft w:val="0"/>
                                              <w:marRight w:val="0"/>
                                              <w:marTop w:val="0"/>
                                              <w:marBottom w:val="0"/>
                                              <w:divBdr>
                                                <w:top w:val="none" w:sz="0" w:space="0" w:color="auto"/>
                                                <w:left w:val="none" w:sz="0" w:space="0" w:color="auto"/>
                                                <w:bottom w:val="none" w:sz="0" w:space="0" w:color="auto"/>
                                                <w:right w:val="none" w:sz="0" w:space="0" w:color="auto"/>
                                              </w:divBdr>
                                              <w:divsChild>
                                                <w:div w:id="1121072140">
                                                  <w:marLeft w:val="0"/>
                                                  <w:marRight w:val="0"/>
                                                  <w:marTop w:val="0"/>
                                                  <w:marBottom w:val="0"/>
                                                  <w:divBdr>
                                                    <w:top w:val="none" w:sz="0" w:space="0" w:color="auto"/>
                                                    <w:left w:val="none" w:sz="0" w:space="0" w:color="auto"/>
                                                    <w:bottom w:val="none" w:sz="0" w:space="0" w:color="auto"/>
                                                    <w:right w:val="none" w:sz="0" w:space="0" w:color="auto"/>
                                                  </w:divBdr>
                                                  <w:divsChild>
                                                    <w:div w:id="5701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2468108">
          <w:marLeft w:val="0"/>
          <w:marRight w:val="0"/>
          <w:marTop w:val="0"/>
          <w:marBottom w:val="0"/>
          <w:divBdr>
            <w:top w:val="none" w:sz="0" w:space="0" w:color="auto"/>
            <w:left w:val="none" w:sz="0" w:space="0" w:color="auto"/>
            <w:bottom w:val="none" w:sz="0" w:space="0" w:color="auto"/>
            <w:right w:val="none" w:sz="0" w:space="0" w:color="auto"/>
          </w:divBdr>
          <w:divsChild>
            <w:div w:id="186916925">
              <w:marLeft w:val="0"/>
              <w:marRight w:val="0"/>
              <w:marTop w:val="0"/>
              <w:marBottom w:val="0"/>
              <w:divBdr>
                <w:top w:val="none" w:sz="0" w:space="0" w:color="auto"/>
                <w:left w:val="none" w:sz="0" w:space="0" w:color="auto"/>
                <w:bottom w:val="none" w:sz="0" w:space="0" w:color="auto"/>
                <w:right w:val="none" w:sz="0" w:space="0" w:color="auto"/>
              </w:divBdr>
              <w:divsChild>
                <w:div w:id="1479230025">
                  <w:marLeft w:val="0"/>
                  <w:marRight w:val="0"/>
                  <w:marTop w:val="0"/>
                  <w:marBottom w:val="0"/>
                  <w:divBdr>
                    <w:top w:val="none" w:sz="0" w:space="0" w:color="auto"/>
                    <w:left w:val="none" w:sz="0" w:space="0" w:color="auto"/>
                    <w:bottom w:val="none" w:sz="0" w:space="0" w:color="auto"/>
                    <w:right w:val="none" w:sz="0" w:space="0" w:color="auto"/>
                  </w:divBdr>
                  <w:divsChild>
                    <w:div w:id="890769812">
                      <w:marLeft w:val="0"/>
                      <w:marRight w:val="0"/>
                      <w:marTop w:val="0"/>
                      <w:marBottom w:val="0"/>
                      <w:divBdr>
                        <w:top w:val="none" w:sz="0" w:space="0" w:color="auto"/>
                        <w:left w:val="none" w:sz="0" w:space="0" w:color="auto"/>
                        <w:bottom w:val="none" w:sz="0" w:space="0" w:color="auto"/>
                        <w:right w:val="none" w:sz="0" w:space="0" w:color="auto"/>
                      </w:divBdr>
                      <w:divsChild>
                        <w:div w:id="1981423773">
                          <w:marLeft w:val="0"/>
                          <w:marRight w:val="0"/>
                          <w:marTop w:val="0"/>
                          <w:marBottom w:val="0"/>
                          <w:divBdr>
                            <w:top w:val="none" w:sz="0" w:space="0" w:color="auto"/>
                            <w:left w:val="none" w:sz="0" w:space="0" w:color="auto"/>
                            <w:bottom w:val="none" w:sz="0" w:space="0" w:color="auto"/>
                            <w:right w:val="none" w:sz="0" w:space="0" w:color="auto"/>
                          </w:divBdr>
                          <w:divsChild>
                            <w:div w:id="1679306962">
                              <w:marLeft w:val="0"/>
                              <w:marRight w:val="0"/>
                              <w:marTop w:val="0"/>
                              <w:marBottom w:val="0"/>
                              <w:divBdr>
                                <w:top w:val="none" w:sz="0" w:space="0" w:color="auto"/>
                                <w:left w:val="none" w:sz="0" w:space="0" w:color="auto"/>
                                <w:bottom w:val="none" w:sz="0" w:space="0" w:color="auto"/>
                                <w:right w:val="none" w:sz="0" w:space="0" w:color="auto"/>
                              </w:divBdr>
                              <w:divsChild>
                                <w:div w:id="1626741304">
                                  <w:marLeft w:val="0"/>
                                  <w:marRight w:val="0"/>
                                  <w:marTop w:val="0"/>
                                  <w:marBottom w:val="0"/>
                                  <w:divBdr>
                                    <w:top w:val="none" w:sz="0" w:space="0" w:color="auto"/>
                                    <w:left w:val="none" w:sz="0" w:space="0" w:color="auto"/>
                                    <w:bottom w:val="none" w:sz="0" w:space="0" w:color="auto"/>
                                    <w:right w:val="none" w:sz="0" w:space="0" w:color="auto"/>
                                  </w:divBdr>
                                  <w:divsChild>
                                    <w:div w:id="1740395798">
                                      <w:marLeft w:val="0"/>
                                      <w:marRight w:val="0"/>
                                      <w:marTop w:val="0"/>
                                      <w:marBottom w:val="0"/>
                                      <w:divBdr>
                                        <w:top w:val="none" w:sz="0" w:space="0" w:color="auto"/>
                                        <w:left w:val="none" w:sz="0" w:space="0" w:color="auto"/>
                                        <w:bottom w:val="none" w:sz="0" w:space="0" w:color="auto"/>
                                        <w:right w:val="none" w:sz="0" w:space="0" w:color="auto"/>
                                      </w:divBdr>
                                      <w:divsChild>
                                        <w:div w:id="192962059">
                                          <w:marLeft w:val="0"/>
                                          <w:marRight w:val="0"/>
                                          <w:marTop w:val="0"/>
                                          <w:marBottom w:val="0"/>
                                          <w:divBdr>
                                            <w:top w:val="none" w:sz="0" w:space="0" w:color="auto"/>
                                            <w:left w:val="none" w:sz="0" w:space="0" w:color="auto"/>
                                            <w:bottom w:val="none" w:sz="0" w:space="0" w:color="auto"/>
                                            <w:right w:val="none" w:sz="0" w:space="0" w:color="auto"/>
                                          </w:divBdr>
                                          <w:divsChild>
                                            <w:div w:id="662244093">
                                              <w:marLeft w:val="0"/>
                                              <w:marRight w:val="0"/>
                                              <w:marTop w:val="0"/>
                                              <w:marBottom w:val="0"/>
                                              <w:divBdr>
                                                <w:top w:val="none" w:sz="0" w:space="0" w:color="auto"/>
                                                <w:left w:val="none" w:sz="0" w:space="0" w:color="auto"/>
                                                <w:bottom w:val="none" w:sz="0" w:space="0" w:color="auto"/>
                                                <w:right w:val="none" w:sz="0" w:space="0" w:color="auto"/>
                                              </w:divBdr>
                                              <w:divsChild>
                                                <w:div w:id="95972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7509839">
      <w:bodyDiv w:val="1"/>
      <w:marLeft w:val="0"/>
      <w:marRight w:val="0"/>
      <w:marTop w:val="0"/>
      <w:marBottom w:val="0"/>
      <w:divBdr>
        <w:top w:val="none" w:sz="0" w:space="0" w:color="auto"/>
        <w:left w:val="none" w:sz="0" w:space="0" w:color="auto"/>
        <w:bottom w:val="none" w:sz="0" w:space="0" w:color="auto"/>
        <w:right w:val="none" w:sz="0" w:space="0" w:color="auto"/>
      </w:divBdr>
    </w:div>
    <w:div w:id="181105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44E54-09D5-4FF2-AB01-2E63CF340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2389</Words>
  <Characters>13622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UBND TỈNH THANH HOÁ</vt:lpstr>
    </vt:vector>
  </TitlesOfParts>
  <Company>HOME</Company>
  <LinksUpToDate>false</LinksUpToDate>
  <CharactersWithSpaces>15980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THANH HOÁ</dc:title>
  <dc:creator>User</dc:creator>
  <cp:lastModifiedBy>os</cp:lastModifiedBy>
  <cp:revision>2</cp:revision>
  <cp:lastPrinted>2026-05-26T01:24:00Z</cp:lastPrinted>
  <dcterms:created xsi:type="dcterms:W3CDTF">2026-10-01T10:01:00Z</dcterms:created>
  <dcterms:modified xsi:type="dcterms:W3CDTF">2026-10-01T10:01:00Z</dcterms:modified>
</cp:coreProperties>
</file>