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12" w:rsidRPr="00F91212" w:rsidRDefault="00F91212" w:rsidP="00F9121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8"/>
          <w:szCs w:val="28"/>
        </w:rPr>
      </w:pPr>
      <w:proofErr w:type="spellStart"/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t>Phụ</w:t>
      </w:r>
      <w:proofErr w:type="spellEnd"/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t>lục</w:t>
      </w:r>
      <w:proofErr w:type="spellEnd"/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t xml:space="preserve"> II</w:t>
      </w:r>
    </w:p>
    <w:p w:rsidR="00F91212" w:rsidRDefault="00F91212" w:rsidP="00F9121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t xml:space="preserve">MẪU BẢN KÊ KHAI VÀ HƯỚNG DẪN VIỆC KÊ KHAI </w:t>
      </w:r>
    </w:p>
    <w:p w:rsidR="00F91212" w:rsidRPr="00F91212" w:rsidRDefault="00F91212" w:rsidP="00F9121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8"/>
          <w:szCs w:val="28"/>
        </w:rPr>
      </w:pPr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t>TÀI SẢN, THU NHẬP BỔ SUNG</w:t>
      </w:r>
    </w:p>
    <w:p w:rsidR="00CF74F8" w:rsidRDefault="00CF74F8" w:rsidP="00F9121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</w:p>
    <w:p w:rsidR="00F91212" w:rsidRPr="00F91212" w:rsidRDefault="00F91212" w:rsidP="00F9121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F91212">
        <w:rPr>
          <w:rFonts w:eastAsia="Times New Roman" w:cs="Times New Roman"/>
          <w:color w:val="222222"/>
          <w:sz w:val="28"/>
          <w:szCs w:val="28"/>
        </w:rPr>
        <w:t> </w:t>
      </w:r>
    </w:p>
    <w:p w:rsidR="00F91212" w:rsidRPr="00CF74F8" w:rsidRDefault="00F91212" w:rsidP="00F91212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8"/>
          <w:szCs w:val="28"/>
          <w:u w:val="single"/>
        </w:rPr>
      </w:pPr>
      <w:r w:rsidRPr="00CF74F8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A. MẪU BẢN KÊ KHAI TÀI SẢN, THU NHẬP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7615"/>
      </w:tblGrid>
      <w:tr w:rsidR="00F91212" w:rsidRPr="00F91212" w:rsidTr="00F91212">
        <w:trPr>
          <w:jc w:val="center"/>
        </w:trPr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12" w:rsidRPr="00F91212" w:rsidRDefault="00F91212" w:rsidP="00F9121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TÊN CƠ QUAN, ĐƠN VỊ</w:t>
            </w:r>
          </w:p>
        </w:tc>
        <w:tc>
          <w:tcPr>
            <w:tcW w:w="5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12" w:rsidRPr="00F91212" w:rsidRDefault="00F91212" w:rsidP="00F9121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:rsidR="00F91212" w:rsidRPr="00F91212" w:rsidRDefault="00F91212" w:rsidP="00F9121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</w:p>
          <w:p w:rsidR="00F91212" w:rsidRPr="00F91212" w:rsidRDefault="00F91212" w:rsidP="00F9121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________________________</w:t>
            </w:r>
          </w:p>
        </w:tc>
      </w:tr>
    </w:tbl>
    <w:p w:rsidR="00F91212" w:rsidRPr="00F91212" w:rsidRDefault="00F91212" w:rsidP="00F9121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  <w:r w:rsidRPr="00F91212">
        <w:rPr>
          <w:rFonts w:eastAsia="Times New Roman" w:cs="Times New Roman"/>
          <w:color w:val="333333"/>
          <w:sz w:val="28"/>
          <w:szCs w:val="28"/>
        </w:rPr>
        <w:t> </w:t>
      </w:r>
    </w:p>
    <w:p w:rsidR="00F91212" w:rsidRPr="00F91212" w:rsidRDefault="00F91212" w:rsidP="00F9121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8"/>
          <w:szCs w:val="28"/>
        </w:rPr>
      </w:pPr>
      <w:r w:rsidRPr="00F91212">
        <w:rPr>
          <w:rFonts w:eastAsia="Times New Roman" w:cs="Times New Roman"/>
          <w:color w:val="222222"/>
          <w:sz w:val="28"/>
          <w:szCs w:val="28"/>
        </w:rPr>
        <w:t> </w:t>
      </w:r>
    </w:p>
    <w:p w:rsidR="00F91212" w:rsidRPr="00F91212" w:rsidRDefault="00F91212" w:rsidP="00F9121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8"/>
          <w:szCs w:val="28"/>
        </w:rPr>
      </w:pPr>
      <w:r w:rsidRPr="00F91212">
        <w:rPr>
          <w:rFonts w:eastAsia="Times New Roman" w:cs="Times New Roman"/>
          <w:color w:val="222222"/>
          <w:sz w:val="28"/>
          <w:szCs w:val="28"/>
        </w:rPr>
        <w:t> </w:t>
      </w:r>
    </w:p>
    <w:p w:rsidR="00F91212" w:rsidRPr="00F91212" w:rsidRDefault="00F91212" w:rsidP="00F9121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8"/>
          <w:szCs w:val="28"/>
        </w:rPr>
      </w:pPr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t>BẢN KÊ KHAI TÀI SẢN, THU NHẬP BỔ SUNG</w:t>
      </w:r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br/>
        <w:t>(</w:t>
      </w:r>
      <w:proofErr w:type="spellStart"/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t>Ngày</w:t>
      </w:r>
      <w:proofErr w:type="spellEnd"/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t xml:space="preserve">............................. </w:t>
      </w:r>
      <w:proofErr w:type="spellStart"/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t>tháng</w:t>
      </w:r>
      <w:proofErr w:type="spellEnd"/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t xml:space="preserve">             </w:t>
      </w:r>
      <w:proofErr w:type="spellStart"/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t>năm</w:t>
      </w:r>
      <w:proofErr w:type="spellEnd"/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t>          </w:t>
      </w:r>
      <w:proofErr w:type="gramStart"/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t>  )</w:t>
      </w:r>
      <w:proofErr w:type="gramEnd"/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  <w:r w:rsidRPr="00F91212">
        <w:rPr>
          <w:rFonts w:eastAsia="Times New Roman" w:cs="Times New Roman"/>
          <w:b/>
          <w:bCs/>
          <w:color w:val="000000"/>
          <w:sz w:val="28"/>
          <w:szCs w:val="28"/>
          <w:vertAlign w:val="superscript"/>
        </w:rPr>
        <w:t>(1)</w:t>
      </w:r>
    </w:p>
    <w:p w:rsidR="00F91212" w:rsidRPr="00F91212" w:rsidRDefault="00F91212" w:rsidP="00F9121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8"/>
          <w:szCs w:val="28"/>
        </w:rPr>
      </w:pPr>
      <w:r w:rsidRPr="00F91212">
        <w:rPr>
          <w:rFonts w:eastAsia="Times New Roman" w:cs="Times New Roman"/>
          <w:color w:val="222222"/>
          <w:sz w:val="28"/>
          <w:szCs w:val="28"/>
        </w:rPr>
        <w:t> </w:t>
      </w:r>
    </w:p>
    <w:p w:rsidR="00F91212" w:rsidRPr="00F91212" w:rsidRDefault="00F91212" w:rsidP="00F91212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8"/>
          <w:szCs w:val="28"/>
        </w:rPr>
      </w:pPr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t>I. THÔNG TIN CHUNG </w:t>
      </w:r>
      <w:r w:rsidRPr="00F91212">
        <w:rPr>
          <w:rFonts w:eastAsia="Times New Roman" w:cs="Times New Roman"/>
          <w:b/>
          <w:bCs/>
          <w:color w:val="000000"/>
          <w:sz w:val="28"/>
          <w:szCs w:val="28"/>
          <w:vertAlign w:val="superscript"/>
        </w:rPr>
        <w:t>(2)</w:t>
      </w:r>
    </w:p>
    <w:p w:rsidR="00F91212" w:rsidRPr="00F91212" w:rsidRDefault="00F91212" w:rsidP="00F91212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8"/>
          <w:szCs w:val="28"/>
        </w:rPr>
      </w:pPr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t>II. BIẾN ĐỘNG TÀI SẢN, THU NHẬP; GIẢI TRÌNH NGUỒN GỐC TÀI SẢN, THU NHẬP TĂNG THÊM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1292"/>
        <w:gridCol w:w="1570"/>
        <w:gridCol w:w="2247"/>
      </w:tblGrid>
      <w:tr w:rsidR="00F91212" w:rsidRPr="00F91212" w:rsidTr="00F91212">
        <w:trPr>
          <w:trHeight w:val="405"/>
          <w:jc w:val="center"/>
        </w:trPr>
        <w:tc>
          <w:tcPr>
            <w:tcW w:w="55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1212" w:rsidRPr="00F91212" w:rsidRDefault="00F91212" w:rsidP="00F91212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Loại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tài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sản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thu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nhập</w:t>
            </w:r>
            <w:proofErr w:type="spellEnd"/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1212" w:rsidRPr="00F91212" w:rsidRDefault="00F91212" w:rsidP="00F91212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Tăng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(3)</w:t>
            </w:r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giảm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(4)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1212" w:rsidRPr="00F91212" w:rsidRDefault="00F91212" w:rsidP="00F91212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Nội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giải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trình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nguồn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gốc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tài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sản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tăng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thêm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và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tổng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thu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nhập</w:t>
            </w:r>
            <w:proofErr w:type="spellEnd"/>
          </w:p>
        </w:tc>
      </w:tr>
      <w:tr w:rsidR="00F91212" w:rsidRPr="00F91212" w:rsidTr="00F91212">
        <w:trPr>
          <w:trHeight w:val="7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1212" w:rsidRPr="00F91212" w:rsidRDefault="00F91212" w:rsidP="00F91212">
            <w:pPr>
              <w:spacing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1212" w:rsidRPr="00F91212" w:rsidRDefault="00F91212" w:rsidP="00F91212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lượng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tài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1212" w:rsidRPr="00F91212" w:rsidRDefault="00F91212" w:rsidP="00F91212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Giá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trị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tài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sản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thu</w:t>
            </w:r>
            <w:proofErr w:type="spellEnd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nhập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212" w:rsidRPr="00F91212" w:rsidRDefault="00F91212" w:rsidP="00F91212">
            <w:pPr>
              <w:spacing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</w:tr>
      <w:tr w:rsidR="00F91212" w:rsidRPr="00F91212" w:rsidTr="00F91212">
        <w:trPr>
          <w:trHeight w:val="720"/>
          <w:jc w:val="center"/>
        </w:trPr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91212" w:rsidRPr="00F91212" w:rsidRDefault="00F91212" w:rsidP="00F91212">
            <w:pPr>
              <w:spacing w:after="12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Quyền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đối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</w:p>
          <w:p w:rsidR="00F91212" w:rsidRPr="00F91212" w:rsidRDefault="00F91212" w:rsidP="00F91212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1.1.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ở</w:t>
            </w:r>
          </w:p>
          <w:p w:rsidR="00F91212" w:rsidRPr="00F91212" w:rsidRDefault="00F91212" w:rsidP="00F91212">
            <w:pPr>
              <w:spacing w:after="12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1.2.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</w:p>
          <w:p w:rsidR="00F91212" w:rsidRPr="00F91212" w:rsidRDefault="00F91212" w:rsidP="00F91212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ở,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</w:p>
          <w:p w:rsidR="00F91212" w:rsidRPr="00F91212" w:rsidRDefault="00F91212" w:rsidP="00F91212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2.1.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ở</w:t>
            </w:r>
          </w:p>
          <w:p w:rsidR="00F91212" w:rsidRPr="00F91212" w:rsidRDefault="00F91212" w:rsidP="00F91212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2.2.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</w:p>
          <w:p w:rsidR="00F91212" w:rsidRPr="00F91212" w:rsidRDefault="00F91212" w:rsidP="00F91212">
            <w:pPr>
              <w:spacing w:after="12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3. 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gắn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liền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</w:p>
          <w:p w:rsidR="00F91212" w:rsidRPr="00F91212" w:rsidRDefault="00F91212" w:rsidP="00F91212">
            <w:pPr>
              <w:spacing w:after="12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3.1.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Cây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lâu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rừng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xuất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rừng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trồng</w:t>
            </w:r>
            <w:proofErr w:type="spellEnd"/>
          </w:p>
          <w:p w:rsidR="00F91212" w:rsidRPr="00F91212" w:rsidRDefault="00F91212" w:rsidP="00F91212">
            <w:pPr>
              <w:spacing w:after="12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3.2.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Vật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trúc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gắn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liền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đất</w:t>
            </w:r>
            <w:proofErr w:type="spellEnd"/>
          </w:p>
          <w:p w:rsidR="00F91212" w:rsidRPr="00F91212" w:rsidRDefault="00F91212" w:rsidP="00F91212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Vàng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kim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cương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bạch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kim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kim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quý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đá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quý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50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triệu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đồng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trở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lên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:rsidR="00F91212" w:rsidRPr="00F91212" w:rsidRDefault="00F91212" w:rsidP="00F91212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5. 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Nam,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ngoại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tệ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gồm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mặt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vay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trả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trước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gửi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cá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ngoài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Nam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mà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đổi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50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triệu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đồng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trở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lên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:rsidR="00F91212" w:rsidRPr="00F91212" w:rsidRDefault="00F91212" w:rsidP="00F91212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Cổ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phiếu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trái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phiếu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vốn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góp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tờ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mà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50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triệu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đồng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trở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lên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từng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):</w:t>
            </w:r>
          </w:p>
          <w:p w:rsidR="00F91212" w:rsidRPr="00F91212" w:rsidRDefault="00F91212" w:rsidP="00F91212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6.1.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Cổ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phiếu</w:t>
            </w:r>
            <w:proofErr w:type="spellEnd"/>
          </w:p>
          <w:p w:rsidR="00F91212" w:rsidRPr="00F91212" w:rsidRDefault="00F91212" w:rsidP="00F91212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6.2.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Trái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phiếu</w:t>
            </w:r>
            <w:proofErr w:type="spellEnd"/>
          </w:p>
          <w:p w:rsidR="00F91212" w:rsidRPr="00F91212" w:rsidRDefault="00F91212" w:rsidP="00F91212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6.3.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Vốn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góp</w:t>
            </w:r>
            <w:proofErr w:type="spellEnd"/>
          </w:p>
          <w:p w:rsidR="00F91212" w:rsidRPr="00F91212" w:rsidRDefault="00F91212" w:rsidP="00F91212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6.4.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tờ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</w:p>
          <w:p w:rsidR="00F91212" w:rsidRPr="00F91212" w:rsidRDefault="00F91212" w:rsidP="00F91212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50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triệu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đồng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trở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lên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</w:p>
          <w:p w:rsidR="00F91212" w:rsidRPr="00F91212" w:rsidRDefault="00F91212" w:rsidP="00F91212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7.1.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phải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tầu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bay,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tầu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thủy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thuyền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ủi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xúc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ô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tô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mô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tô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xe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gắn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...).</w:t>
            </w:r>
          </w:p>
          <w:p w:rsidR="00F91212" w:rsidRPr="00F91212" w:rsidRDefault="00F91212" w:rsidP="00F91212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7.2.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đồ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mỹ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nghệ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đồ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thờ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cúng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bàn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ghế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cây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cảnh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tranh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ảnh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tử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...).</w:t>
            </w:r>
          </w:p>
          <w:p w:rsidR="00F91212" w:rsidRPr="00F91212" w:rsidRDefault="00F91212" w:rsidP="00F91212">
            <w:pPr>
              <w:spacing w:after="12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ngoài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:rsidR="00F91212" w:rsidRPr="00F91212" w:rsidRDefault="00F91212" w:rsidP="00F91212">
            <w:pPr>
              <w:spacing w:after="12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9.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thu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nhập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giữa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02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lần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kê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F91212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(5)</w:t>
            </w:r>
            <w:r w:rsidRPr="00F91212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91212" w:rsidRPr="00F91212" w:rsidRDefault="00F91212" w:rsidP="00F91212">
            <w:pPr>
              <w:spacing w:after="12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222222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91212" w:rsidRPr="00F91212" w:rsidRDefault="00F91212" w:rsidP="00F91212">
            <w:pPr>
              <w:spacing w:after="12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1212" w:rsidRPr="00F91212" w:rsidRDefault="00F91212" w:rsidP="00F91212">
            <w:pPr>
              <w:spacing w:after="12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F91212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</w:tr>
    </w:tbl>
    <w:p w:rsidR="00F91212" w:rsidRPr="00F91212" w:rsidRDefault="00F91212" w:rsidP="00F9121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  <w:r w:rsidRPr="00F91212">
        <w:rPr>
          <w:rFonts w:eastAsia="Times New Roman" w:cs="Times New Roman"/>
          <w:color w:val="333333"/>
          <w:sz w:val="28"/>
          <w:szCs w:val="28"/>
        </w:rPr>
        <w:lastRenderedPageBreak/>
        <w:t> </w:t>
      </w:r>
    </w:p>
    <w:p w:rsidR="00F91212" w:rsidRPr="00F91212" w:rsidRDefault="00F91212" w:rsidP="00F9121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8"/>
          <w:szCs w:val="28"/>
        </w:rPr>
      </w:pPr>
      <w:r w:rsidRPr="00F91212">
        <w:rPr>
          <w:rFonts w:eastAsia="Times New Roman" w:cs="Times New Roman"/>
          <w:color w:val="222222"/>
          <w:sz w:val="28"/>
          <w:szCs w:val="28"/>
        </w:rPr>
        <w:t> </w:t>
      </w:r>
    </w:p>
    <w:p w:rsidR="00F91212" w:rsidRPr="00F91212" w:rsidRDefault="00F91212" w:rsidP="00F91212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8"/>
          <w:szCs w:val="28"/>
        </w:rPr>
      </w:pPr>
      <w:r w:rsidRPr="00F9121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III.</w:t>
      </w:r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t xml:space="preserve"> THÔNG TIN MÔ TẢ VỀ TÀI SẢN, THU NHẬP TĂNG </w:t>
      </w:r>
      <w:proofErr w:type="gramStart"/>
      <w:r w:rsidRPr="00F91212">
        <w:rPr>
          <w:rFonts w:eastAsia="Times New Roman" w:cs="Times New Roman"/>
          <w:b/>
          <w:bCs/>
          <w:color w:val="000000"/>
          <w:sz w:val="28"/>
          <w:szCs w:val="28"/>
        </w:rPr>
        <w:t>THÊM</w:t>
      </w:r>
      <w:r w:rsidRPr="00F91212">
        <w:rPr>
          <w:rFonts w:eastAsia="Times New Roman" w:cs="Times New Roman"/>
          <w:b/>
          <w:bCs/>
          <w:color w:val="000000"/>
          <w:sz w:val="28"/>
          <w:szCs w:val="28"/>
          <w:vertAlign w:val="superscript"/>
        </w:rPr>
        <w:t>(</w:t>
      </w:r>
      <w:proofErr w:type="gramEnd"/>
      <w:r w:rsidRPr="00F91212">
        <w:rPr>
          <w:rFonts w:eastAsia="Times New Roman" w:cs="Times New Roman"/>
          <w:b/>
          <w:bCs/>
          <w:color w:val="000000"/>
          <w:sz w:val="28"/>
          <w:szCs w:val="28"/>
          <w:vertAlign w:val="superscript"/>
        </w:rPr>
        <w:t>6)</w:t>
      </w:r>
    </w:p>
    <w:p w:rsidR="00F91212" w:rsidRPr="00F91212" w:rsidRDefault="00F91212" w:rsidP="00F91212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8"/>
          <w:szCs w:val="28"/>
        </w:rPr>
      </w:pPr>
      <w:r w:rsidRPr="00F91212">
        <w:rPr>
          <w:rFonts w:eastAsia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F91212" w:rsidRPr="00F91212" w:rsidRDefault="00F91212" w:rsidP="00F91212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8"/>
          <w:szCs w:val="28"/>
        </w:rPr>
      </w:pPr>
      <w:r w:rsidRPr="00F91212">
        <w:rPr>
          <w:rFonts w:eastAsia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F91212" w:rsidRPr="00CF74F8" w:rsidRDefault="00F91212" w:rsidP="00F91212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8"/>
          <w:szCs w:val="28"/>
          <w:u w:val="single"/>
        </w:rPr>
      </w:pPr>
      <w:r w:rsidRPr="00CF74F8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B. HƯỚNG DẪN KÊ KHAI TÀI SẢN, THU NHẬP BỔ SUNG</w:t>
      </w:r>
    </w:p>
    <w:p w:rsidR="00F91212" w:rsidRPr="00F91212" w:rsidRDefault="00F91212" w:rsidP="00F91212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8"/>
          <w:szCs w:val="28"/>
        </w:rPr>
      </w:pPr>
      <w:r w:rsidRPr="00F91212">
        <w:rPr>
          <w:rFonts w:eastAsia="Times New Roman" w:cs="Times New Roman"/>
          <w:color w:val="000000"/>
          <w:sz w:val="28"/>
          <w:szCs w:val="28"/>
        </w:rPr>
        <w:t xml:space="preserve">(1)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Ghi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hoàn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thành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việc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kê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khai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>.</w:t>
      </w:r>
    </w:p>
    <w:p w:rsidR="00F91212" w:rsidRPr="00F91212" w:rsidRDefault="00F91212" w:rsidP="00F91212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8"/>
          <w:szCs w:val="28"/>
        </w:rPr>
      </w:pPr>
      <w:r w:rsidRPr="00F91212">
        <w:rPr>
          <w:rFonts w:eastAsia="Times New Roman" w:cs="Times New Roman"/>
          <w:color w:val="000000"/>
          <w:sz w:val="28"/>
          <w:szCs w:val="28"/>
        </w:rPr>
        <w:t xml:space="preserve">(2)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Ghi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như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phần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thông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chung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Mẫu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bản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kê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khai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tại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Phụ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lục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kèm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theo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Nghị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định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này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>.</w:t>
      </w:r>
    </w:p>
    <w:p w:rsidR="00F91212" w:rsidRPr="00F91212" w:rsidRDefault="00F91212" w:rsidP="00F91212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8"/>
          <w:szCs w:val="28"/>
        </w:rPr>
      </w:pPr>
      <w:r w:rsidRPr="00F91212">
        <w:rPr>
          <w:rFonts w:eastAsia="Times New Roman" w:cs="Times New Roman"/>
          <w:color w:val="000000"/>
          <w:sz w:val="28"/>
          <w:szCs w:val="28"/>
        </w:rPr>
        <w:t xml:space="preserve">(3)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Nếu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tài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sản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tăng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thì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ghi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dấu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cộng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(+)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số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lượng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tài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sản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tăng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vào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cột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“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số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lượng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tài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sản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”,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ghi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giá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trị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tài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sản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tăng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vào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cột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“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giá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trị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tài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sản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thu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nhập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”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giải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thích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nguyên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nhân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tăng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vào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cột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“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nội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giải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trình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nguồn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gốc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tài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sản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tăng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thêm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tổng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thu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nhập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>”.</w:t>
      </w:r>
    </w:p>
    <w:p w:rsidR="00F91212" w:rsidRPr="00F91212" w:rsidRDefault="00F91212" w:rsidP="00F91212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8"/>
          <w:szCs w:val="28"/>
        </w:rPr>
      </w:pPr>
      <w:r w:rsidRPr="00F91212">
        <w:rPr>
          <w:rFonts w:eastAsia="Times New Roman" w:cs="Times New Roman"/>
          <w:color w:val="000000"/>
          <w:sz w:val="28"/>
          <w:szCs w:val="28"/>
        </w:rPr>
        <w:t>(4) 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Nếu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> 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tài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sản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giảm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thì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ghi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dấu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trừ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(-)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vào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cột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“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số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lượng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tài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sản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”,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ghi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giá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trị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tài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sản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giảm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vào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cột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“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giá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trị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tài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sản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thu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nhập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”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giải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thích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nguyên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nhân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giảm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tài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sản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vào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cột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“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Nội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giải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trình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nguồn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gốc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tài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sản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tăng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thêm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tổng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thu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nhập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>”.</w:t>
      </w:r>
    </w:p>
    <w:p w:rsidR="00F91212" w:rsidRPr="00F91212" w:rsidRDefault="00F91212" w:rsidP="00F91212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8"/>
          <w:szCs w:val="28"/>
        </w:rPr>
      </w:pPr>
      <w:r w:rsidRPr="00F91212">
        <w:rPr>
          <w:rFonts w:eastAsia="Times New Roman" w:cs="Times New Roman"/>
          <w:color w:val="000000"/>
          <w:sz w:val="28"/>
          <w:szCs w:val="28"/>
        </w:rPr>
        <w:t xml:space="preserve">(5)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Ghi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tổng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thu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nhập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giữa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02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lần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kê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khai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vào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cột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“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giá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trị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tài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sản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thu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nhập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”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ghi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rõ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từng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khoản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thu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nhập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kỳ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kê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khai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xem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ví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dụ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tại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điểm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32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phần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hướng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dẫn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tại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Phụ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lục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kèm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theo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Nghị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định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</w:rPr>
        <w:t>này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</w:rPr>
        <w:t>).</w:t>
      </w:r>
    </w:p>
    <w:p w:rsidR="005634DD" w:rsidRPr="00F91212" w:rsidRDefault="00F91212" w:rsidP="00F91212">
      <w:pPr>
        <w:rPr>
          <w:rFonts w:cs="Times New Roman"/>
          <w:sz w:val="28"/>
          <w:szCs w:val="28"/>
        </w:rPr>
      </w:pPr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(6)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Ghi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mục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II “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mô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tả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mẫu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kê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khai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hướng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dẫn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Phụ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lục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kèm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Lưu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kê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khai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tăng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thêm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kê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khai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kê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khai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trước</w:t>
      </w:r>
      <w:proofErr w:type="spellEnd"/>
      <w:r w:rsidRPr="00F912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5634DD" w:rsidRPr="00F91212" w:rsidSect="00C661F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12"/>
    <w:rsid w:val="005634DD"/>
    <w:rsid w:val="00B53739"/>
    <w:rsid w:val="00C661F7"/>
    <w:rsid w:val="00CF74F8"/>
    <w:rsid w:val="00F9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6F51"/>
  <w15:docId w15:val="{70FBAD34-4383-4E97-A2D0-B8A1CF05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2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91212"/>
    <w:rPr>
      <w:b/>
      <w:bCs/>
    </w:rPr>
  </w:style>
  <w:style w:type="character" w:styleId="Emphasis">
    <w:name w:val="Emphasis"/>
    <w:basedOn w:val="DefaultParagraphFont"/>
    <w:uiPriority w:val="20"/>
    <w:qFormat/>
    <w:rsid w:val="00F912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1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nguyenthiminhthu</cp:lastModifiedBy>
  <cp:revision>3</cp:revision>
  <dcterms:created xsi:type="dcterms:W3CDTF">2020-12-21T03:28:00Z</dcterms:created>
  <dcterms:modified xsi:type="dcterms:W3CDTF">2022-11-25T01:26:00Z</dcterms:modified>
</cp:coreProperties>
</file>