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18" w:rsidRPr="00754596" w:rsidRDefault="00470218" w:rsidP="00470218">
      <w:pPr>
        <w:spacing w:before="60" w:after="120" w:line="320" w:lineRule="exact"/>
        <w:jc w:val="center"/>
        <w:rPr>
          <w:b/>
          <w:szCs w:val="26"/>
        </w:rPr>
      </w:pPr>
      <w:r w:rsidRPr="00754596">
        <w:rPr>
          <w:b/>
          <w:szCs w:val="26"/>
        </w:rPr>
        <w:t>THỦ TỤC HÀNH CHÍNH NỘI BỘ</w:t>
      </w:r>
    </w:p>
    <w:p w:rsidR="00470218" w:rsidRPr="00754596" w:rsidRDefault="005C3C47" w:rsidP="00470218">
      <w:pPr>
        <w:spacing w:before="60" w:after="120" w:line="320" w:lineRule="exact"/>
        <w:jc w:val="center"/>
        <w:rPr>
          <w:b/>
          <w:szCs w:val="26"/>
        </w:rPr>
      </w:pPr>
      <w:r w:rsidRPr="005C3C47">
        <w:rPr>
          <w:b/>
          <w:noProof/>
          <w:szCs w:val="28"/>
        </w:rPr>
        <w:pict>
          <v:line id="Straight Connector 3" o:spid="_x0000_s1029" style="position:absolute;left:0;text-align:left;z-index:251663360;visibility:visible;mso-wrap-distance-top:-3e-5mm;mso-wrap-distance-bottom:-3e-5mm;mso-width-relative:margin;mso-height-relative:margin" from="170.2pt,19.7pt" to="282.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" strokecolor="black [3213]">
            <o:lock v:ext="edit" shapetype="f"/>
          </v:line>
        </w:pict>
      </w:r>
      <w:r w:rsidR="00470218" w:rsidRPr="00754596">
        <w:rPr>
          <w:b/>
          <w:szCs w:val="26"/>
        </w:rPr>
        <w:t xml:space="preserve">LĨNH VỰC </w:t>
      </w:r>
      <w:r w:rsidR="00470218">
        <w:rPr>
          <w:b/>
          <w:szCs w:val="26"/>
        </w:rPr>
        <w:t xml:space="preserve">GIAO THÔNG </w:t>
      </w:r>
      <w:r w:rsidR="006D5256">
        <w:rPr>
          <w:b/>
          <w:szCs w:val="26"/>
        </w:rPr>
        <w:t>VẬN TẢI</w:t>
      </w:r>
    </w:p>
    <w:p w:rsidR="00470218" w:rsidRPr="00754596" w:rsidRDefault="00470218" w:rsidP="00470218">
      <w:pPr>
        <w:spacing w:before="60" w:after="120" w:line="320" w:lineRule="exact"/>
        <w:jc w:val="center"/>
        <w:rPr>
          <w:i/>
          <w:szCs w:val="28"/>
        </w:rPr>
      </w:pPr>
    </w:p>
    <w:p w:rsidR="00470218" w:rsidRPr="00754596" w:rsidRDefault="00470218" w:rsidP="00470218">
      <w:pPr>
        <w:spacing w:before="60" w:after="120" w:line="320" w:lineRule="exact"/>
        <w:ind w:firstLine="709"/>
        <w:jc w:val="both"/>
        <w:rPr>
          <w:b/>
          <w:sz w:val="26"/>
          <w:szCs w:val="26"/>
        </w:rPr>
      </w:pPr>
      <w:r w:rsidRPr="00754596">
        <w:rPr>
          <w:b/>
          <w:bCs/>
          <w:sz w:val="26"/>
          <w:szCs w:val="26"/>
        </w:rPr>
        <w:t xml:space="preserve">PHẦN I.  DANH MỤC </w:t>
      </w:r>
      <w:r w:rsidRPr="00754596">
        <w:rPr>
          <w:b/>
          <w:sz w:val="26"/>
          <w:szCs w:val="26"/>
        </w:rPr>
        <w:t>THỦ TỤC HÀNH CHÍNH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4514"/>
        <w:gridCol w:w="1555"/>
        <w:gridCol w:w="2398"/>
      </w:tblGrid>
      <w:tr w:rsidR="00470218" w:rsidRPr="00754596" w:rsidTr="003E11B8">
        <w:trPr>
          <w:trHeight w:val="525"/>
        </w:trPr>
        <w:tc>
          <w:tcPr>
            <w:tcW w:w="747" w:type="dxa"/>
            <w:vAlign w:val="center"/>
          </w:tcPr>
          <w:p w:rsidR="00470218" w:rsidRPr="00754596" w:rsidRDefault="00470218" w:rsidP="003E11B8">
            <w:pPr>
              <w:spacing w:before="60" w:after="120" w:line="320" w:lineRule="exact"/>
              <w:jc w:val="center"/>
              <w:rPr>
                <w:b/>
                <w:szCs w:val="28"/>
              </w:rPr>
            </w:pPr>
            <w:r w:rsidRPr="00754596">
              <w:rPr>
                <w:b/>
                <w:szCs w:val="28"/>
              </w:rPr>
              <w:t>STT</w:t>
            </w:r>
          </w:p>
        </w:tc>
        <w:tc>
          <w:tcPr>
            <w:tcW w:w="4514" w:type="dxa"/>
            <w:vAlign w:val="center"/>
          </w:tcPr>
          <w:p w:rsidR="00470218" w:rsidRPr="00754596" w:rsidRDefault="00470218" w:rsidP="003E11B8">
            <w:pPr>
              <w:spacing w:before="60" w:after="120" w:line="320" w:lineRule="exact"/>
              <w:jc w:val="center"/>
              <w:rPr>
                <w:b/>
                <w:szCs w:val="28"/>
              </w:rPr>
            </w:pPr>
            <w:r w:rsidRPr="00754596">
              <w:rPr>
                <w:b/>
                <w:szCs w:val="28"/>
              </w:rPr>
              <w:t>Tên thủ tục hành chính</w:t>
            </w:r>
          </w:p>
        </w:tc>
        <w:tc>
          <w:tcPr>
            <w:tcW w:w="1555" w:type="dxa"/>
            <w:vAlign w:val="center"/>
          </w:tcPr>
          <w:p w:rsidR="00470218" w:rsidRPr="00754596" w:rsidRDefault="00470218" w:rsidP="003E11B8">
            <w:pPr>
              <w:spacing w:before="60" w:after="120" w:line="320" w:lineRule="exact"/>
              <w:jc w:val="center"/>
              <w:rPr>
                <w:b/>
                <w:szCs w:val="28"/>
              </w:rPr>
            </w:pPr>
            <w:r w:rsidRPr="00754596">
              <w:rPr>
                <w:b/>
                <w:szCs w:val="28"/>
              </w:rPr>
              <w:t>Lĩnh vực</w:t>
            </w:r>
          </w:p>
        </w:tc>
        <w:tc>
          <w:tcPr>
            <w:tcW w:w="2398" w:type="dxa"/>
            <w:vAlign w:val="center"/>
          </w:tcPr>
          <w:p w:rsidR="00470218" w:rsidRPr="00754596" w:rsidRDefault="00470218" w:rsidP="003E11B8">
            <w:pPr>
              <w:spacing w:before="60" w:after="120" w:line="320" w:lineRule="exact"/>
              <w:ind w:right="-108"/>
              <w:jc w:val="center"/>
              <w:rPr>
                <w:b/>
                <w:szCs w:val="28"/>
              </w:rPr>
            </w:pPr>
            <w:r w:rsidRPr="00754596">
              <w:rPr>
                <w:b/>
                <w:szCs w:val="28"/>
              </w:rPr>
              <w:t>Cơ quan thực hiện</w:t>
            </w:r>
          </w:p>
        </w:tc>
      </w:tr>
      <w:tr w:rsidR="00470218" w:rsidRPr="00754596" w:rsidTr="003E11B8">
        <w:trPr>
          <w:trHeight w:val="837"/>
        </w:trPr>
        <w:tc>
          <w:tcPr>
            <w:tcW w:w="747" w:type="dxa"/>
            <w:vAlign w:val="center"/>
          </w:tcPr>
          <w:p w:rsidR="00470218" w:rsidRPr="00754596" w:rsidRDefault="00470218" w:rsidP="003E11B8">
            <w:pPr>
              <w:spacing w:before="60" w:after="120" w:line="320" w:lineRule="exact"/>
              <w:jc w:val="center"/>
              <w:rPr>
                <w:szCs w:val="28"/>
              </w:rPr>
            </w:pPr>
            <w:r w:rsidRPr="00754596">
              <w:rPr>
                <w:szCs w:val="28"/>
              </w:rPr>
              <w:t>1</w:t>
            </w:r>
          </w:p>
        </w:tc>
        <w:tc>
          <w:tcPr>
            <w:tcW w:w="4514" w:type="dxa"/>
            <w:vAlign w:val="center"/>
          </w:tcPr>
          <w:p w:rsidR="00470218" w:rsidRPr="00754596" w:rsidRDefault="00470218" w:rsidP="003E11B8">
            <w:pPr>
              <w:spacing w:before="60" w:after="120" w:line="320" w:lineRule="exact"/>
              <w:jc w:val="both"/>
              <w:rPr>
                <w:szCs w:val="28"/>
              </w:rPr>
            </w:pPr>
            <w:r w:rsidRPr="00754596">
              <w:rPr>
                <w:szCs w:val="28"/>
              </w:rPr>
              <w:t xml:space="preserve">Thủ tục: </w:t>
            </w:r>
            <w:r w:rsidRPr="004D707C">
              <w:t>Phê duyệt kế hoạch bảo trì công trình đường bộ đối với đường tỉnh và các tuyến đường khác do Sở Giao thông vận tải quản lý</w:t>
            </w:r>
          </w:p>
        </w:tc>
        <w:tc>
          <w:tcPr>
            <w:tcW w:w="1555" w:type="dxa"/>
            <w:vAlign w:val="center"/>
          </w:tcPr>
          <w:p w:rsidR="00470218" w:rsidRPr="00754596" w:rsidRDefault="00470218" w:rsidP="006D5256">
            <w:pPr>
              <w:spacing w:before="60" w:after="120" w:line="320" w:lineRule="exact"/>
              <w:jc w:val="center"/>
              <w:rPr>
                <w:szCs w:val="28"/>
              </w:rPr>
            </w:pPr>
            <w:r>
              <w:rPr>
                <w:szCs w:val="28"/>
              </w:rPr>
              <w:t xml:space="preserve"> Giao thông </w:t>
            </w:r>
            <w:r w:rsidR="006D5256">
              <w:rPr>
                <w:szCs w:val="28"/>
              </w:rPr>
              <w:t>vận tải</w:t>
            </w:r>
          </w:p>
        </w:tc>
        <w:tc>
          <w:tcPr>
            <w:tcW w:w="2398" w:type="dxa"/>
            <w:vAlign w:val="center"/>
          </w:tcPr>
          <w:p w:rsidR="00470218" w:rsidRPr="00754596" w:rsidRDefault="00470218" w:rsidP="003E11B8">
            <w:pPr>
              <w:spacing w:before="60" w:after="120" w:line="320" w:lineRule="exact"/>
              <w:jc w:val="center"/>
              <w:rPr>
                <w:szCs w:val="28"/>
              </w:rPr>
            </w:pPr>
            <w:r>
              <w:rPr>
                <w:szCs w:val="28"/>
              </w:rPr>
              <w:t>Sở Giao thông vận tải</w:t>
            </w:r>
          </w:p>
        </w:tc>
      </w:tr>
    </w:tbl>
    <w:p w:rsidR="00470218" w:rsidRPr="00754596" w:rsidRDefault="00470218" w:rsidP="00470218">
      <w:pPr>
        <w:spacing w:before="60" w:after="120" w:line="320" w:lineRule="exact"/>
        <w:jc w:val="both"/>
        <w:rPr>
          <w:b/>
          <w:bCs/>
          <w:szCs w:val="28"/>
        </w:rPr>
      </w:pPr>
    </w:p>
    <w:p w:rsidR="00470218" w:rsidRPr="00754596" w:rsidRDefault="00470218" w:rsidP="00470218">
      <w:pPr>
        <w:spacing w:before="60" w:after="120" w:line="320" w:lineRule="exact"/>
        <w:ind w:firstLine="567"/>
        <w:jc w:val="both"/>
        <w:rPr>
          <w:b/>
          <w:bCs/>
          <w:spacing w:val="-6"/>
          <w:szCs w:val="28"/>
        </w:rPr>
      </w:pPr>
      <w:r w:rsidRPr="00754596">
        <w:rPr>
          <w:b/>
          <w:bCs/>
          <w:spacing w:val="-6"/>
          <w:szCs w:val="28"/>
        </w:rPr>
        <w:t>PHẦN II. NỘI DUNG CỤ THỂ THỦ TỤC HÀNH CHÍNH</w:t>
      </w:r>
    </w:p>
    <w:p w:rsidR="00470218" w:rsidRPr="00FE2A19" w:rsidRDefault="00470218" w:rsidP="002D38DC">
      <w:pPr>
        <w:spacing w:before="60" w:after="120" w:line="320" w:lineRule="exact"/>
        <w:ind w:firstLine="567"/>
        <w:jc w:val="both"/>
        <w:rPr>
          <w:b/>
          <w:sz w:val="30"/>
          <w:szCs w:val="28"/>
          <w:lang w:val="hr-HR"/>
        </w:rPr>
      </w:pPr>
      <w:r w:rsidRPr="00FE2A19">
        <w:rPr>
          <w:b/>
          <w:szCs w:val="26"/>
          <w:lang w:val="hr-HR"/>
        </w:rPr>
        <w:t xml:space="preserve">1. </w:t>
      </w:r>
      <w:r w:rsidRPr="00FE2A19">
        <w:rPr>
          <w:b/>
        </w:rPr>
        <w:t>Phê duyệt kế hoạch bảo trì công trình đường bộ đối với đường tỉnh và các tuyến đường khác do Sở Giao thông vận tải quản lý</w:t>
      </w:r>
      <w:r w:rsidRPr="00FE2A19">
        <w:rPr>
          <w:b/>
          <w:szCs w:val="28"/>
        </w:rPr>
        <w:t>.</w:t>
      </w:r>
    </w:p>
    <w:p w:rsidR="00470218" w:rsidRPr="006D5256" w:rsidRDefault="00470218" w:rsidP="002D38DC">
      <w:pPr>
        <w:spacing w:before="60" w:after="120" w:line="320" w:lineRule="exact"/>
        <w:ind w:firstLine="567"/>
        <w:jc w:val="both"/>
        <w:rPr>
          <w:szCs w:val="28"/>
          <w:lang w:val="hr-HR"/>
        </w:rPr>
      </w:pPr>
      <w:r w:rsidRPr="006D5256">
        <w:rPr>
          <w:szCs w:val="28"/>
          <w:lang w:val="hr-HR"/>
        </w:rPr>
        <w:t>1.1. Trình tự thực hiện:</w:t>
      </w:r>
    </w:p>
    <w:p w:rsidR="00470218" w:rsidRDefault="00470218" w:rsidP="002D38DC">
      <w:pPr>
        <w:spacing w:before="60" w:after="120" w:line="320" w:lineRule="exact"/>
        <w:ind w:firstLine="567"/>
        <w:jc w:val="both"/>
        <w:rPr>
          <w:iCs/>
        </w:rPr>
      </w:pPr>
      <w:r w:rsidRPr="00ED7763">
        <w:rPr>
          <w:iCs/>
        </w:rPr>
        <w:t xml:space="preserve">- Bước 1: </w:t>
      </w:r>
      <w:r>
        <w:rPr>
          <w:iCs/>
        </w:rPr>
        <w:t xml:space="preserve">Cơ quan quản lý đường bộ trên địa bàn tỉnh theo phân cấp quản lý lập danh mục, nhu cầu bảo trì đối với công tác bảo dưỡng thường xuyên, sửa chữa định kỳ các tuyến đường tỉnh được giao quản lý gửi Sở Giao thông vận tải </w:t>
      </w:r>
      <w:r w:rsidRPr="00ED7763">
        <w:t>trước ngày 30 tháng</w:t>
      </w:r>
      <w:r>
        <w:t xml:space="preserve"> 9</w:t>
      </w:r>
      <w:r w:rsidRPr="00ED7763">
        <w:t xml:space="preserve"> hàng năm</w:t>
      </w:r>
    </w:p>
    <w:p w:rsidR="00470218" w:rsidRPr="001403DD" w:rsidRDefault="00470218" w:rsidP="002D38DC">
      <w:pPr>
        <w:spacing w:before="60" w:after="120" w:line="320" w:lineRule="exact"/>
        <w:ind w:firstLine="567"/>
        <w:jc w:val="both"/>
        <w:rPr>
          <w:iCs/>
        </w:rPr>
      </w:pPr>
      <w:r w:rsidRPr="00ED7763">
        <w:t xml:space="preserve">- Bước 2: Căn cứ danh mục, nhu cầu bảo trì của các đơn vị, Sở Giao thông vận tải tổng hợp, lập Kế hoạch bảo trì công trình đường bộ đối với đường tỉnh và các tuyến đường khác do Sở Giao thông vận tải quản lý, lấy ý kiến của Sở Tài chính thống nhất về khả năng cân đối nguồn vốn </w:t>
      </w:r>
      <w:r>
        <w:t xml:space="preserve">và trình Chủ tịch UBND tỉnh phê </w:t>
      </w:r>
      <w:r w:rsidRPr="00ED7763">
        <w:t xml:space="preserve">duyệt trước 30 tháng </w:t>
      </w:r>
      <w:r>
        <w:t>10</w:t>
      </w:r>
      <w:r w:rsidRPr="00ED7763">
        <w:t xml:space="preserve"> hàng năm. </w:t>
      </w:r>
    </w:p>
    <w:p w:rsidR="00470218" w:rsidRPr="006D5256" w:rsidRDefault="00470218" w:rsidP="002D38DC">
      <w:pPr>
        <w:spacing w:before="60" w:after="120" w:line="320" w:lineRule="exact"/>
        <w:ind w:firstLine="567"/>
        <w:jc w:val="both"/>
        <w:rPr>
          <w:szCs w:val="28"/>
          <w:lang w:val="hr-HR"/>
        </w:rPr>
      </w:pPr>
      <w:r w:rsidRPr="006D5256">
        <w:rPr>
          <w:szCs w:val="28"/>
          <w:lang w:val="hr-HR"/>
        </w:rPr>
        <w:t>1.2. Thành phần hồ sơ:</w:t>
      </w:r>
    </w:p>
    <w:p w:rsidR="00470218" w:rsidRPr="004D707C" w:rsidRDefault="00470218" w:rsidP="002D38DC">
      <w:pPr>
        <w:tabs>
          <w:tab w:val="left" w:pos="709"/>
        </w:tabs>
        <w:spacing w:before="60" w:after="120" w:line="320" w:lineRule="exact"/>
        <w:ind w:firstLine="567"/>
        <w:jc w:val="both"/>
      </w:pPr>
      <w:r>
        <w:tab/>
      </w:r>
      <w:r w:rsidRPr="004D707C">
        <w:t>- Văn bản đề nghị bảo trì công trình trên tuyến đường tỉnh được giao quản lý (bản chính).</w:t>
      </w:r>
    </w:p>
    <w:p w:rsidR="00470218" w:rsidRPr="004D707C" w:rsidRDefault="00470218" w:rsidP="002D38DC">
      <w:pPr>
        <w:tabs>
          <w:tab w:val="left" w:pos="709"/>
        </w:tabs>
        <w:spacing w:before="60" w:after="120" w:line="320" w:lineRule="exact"/>
        <w:ind w:firstLine="567"/>
        <w:jc w:val="both"/>
      </w:pPr>
      <w:r>
        <w:tab/>
      </w:r>
      <w:r w:rsidRPr="004D707C">
        <w:t>- Danh mục công trình đề nghị bảo trì (bản chính)</w:t>
      </w:r>
      <w:r>
        <w:t>.</w:t>
      </w:r>
    </w:p>
    <w:p w:rsidR="00470218" w:rsidRPr="00134947" w:rsidRDefault="00470218" w:rsidP="002D38DC">
      <w:pPr>
        <w:spacing w:before="60" w:after="120" w:line="320" w:lineRule="exact"/>
        <w:ind w:firstLine="567"/>
        <w:jc w:val="both"/>
        <w:rPr>
          <w:szCs w:val="28"/>
          <w:lang w:val="hr-HR"/>
        </w:rPr>
      </w:pPr>
      <w:r w:rsidRPr="00134947">
        <w:rPr>
          <w:szCs w:val="28"/>
          <w:lang w:val="hr-HR"/>
        </w:rPr>
        <w:t>1.3. Số l</w:t>
      </w:r>
      <w:r w:rsidRPr="00134947">
        <w:rPr>
          <w:szCs w:val="28"/>
          <w:lang w:val="vi-VN"/>
        </w:rPr>
        <w:t>ượ</w:t>
      </w:r>
      <w:r w:rsidRPr="00134947">
        <w:rPr>
          <w:szCs w:val="28"/>
          <w:lang w:val="hr-HR"/>
        </w:rPr>
        <w:t>ng hồ sơ: 01 bộ.</w:t>
      </w:r>
    </w:p>
    <w:p w:rsidR="00470218" w:rsidRPr="00134947" w:rsidRDefault="00470218" w:rsidP="002D38DC">
      <w:pPr>
        <w:tabs>
          <w:tab w:val="left" w:pos="567"/>
        </w:tabs>
        <w:spacing w:before="60" w:after="120" w:line="320" w:lineRule="exact"/>
        <w:ind w:firstLine="567"/>
        <w:jc w:val="both"/>
        <w:rPr>
          <w:spacing w:val="-2"/>
          <w:szCs w:val="28"/>
          <w:lang w:val="it-IT"/>
        </w:rPr>
      </w:pPr>
      <w:r w:rsidRPr="00134947">
        <w:rPr>
          <w:szCs w:val="28"/>
          <w:lang w:val="hr-HR"/>
        </w:rPr>
        <w:t xml:space="preserve">1.4.  Thời hạn giải quyết: </w:t>
      </w:r>
      <w:r w:rsidRPr="00134947">
        <w:rPr>
          <w:spacing w:val="-2"/>
          <w:szCs w:val="28"/>
          <w:lang w:val="it-IT"/>
        </w:rPr>
        <w:t>Chưa quy định.</w:t>
      </w:r>
    </w:p>
    <w:p w:rsidR="00470218" w:rsidRPr="00134947" w:rsidRDefault="00470218" w:rsidP="002D38DC">
      <w:pPr>
        <w:spacing w:before="60" w:after="120" w:line="320" w:lineRule="exact"/>
        <w:ind w:firstLine="567"/>
        <w:jc w:val="both"/>
        <w:rPr>
          <w:szCs w:val="28"/>
          <w:lang w:val="hr-HR"/>
        </w:rPr>
      </w:pPr>
      <w:r w:rsidRPr="00134947">
        <w:rPr>
          <w:szCs w:val="28"/>
          <w:lang w:val="hr-HR"/>
        </w:rPr>
        <w:t xml:space="preserve">1.5.  Đối tượng thực hiện thủ tục hành chính: </w:t>
      </w:r>
      <w:r>
        <w:rPr>
          <w:iCs/>
        </w:rPr>
        <w:t>Cơ quan quản lý đường bộ trên địa bàn tỉnh</w:t>
      </w:r>
      <w:r w:rsidRPr="00134947">
        <w:rPr>
          <w:szCs w:val="28"/>
          <w:lang w:val="hr-HR"/>
        </w:rPr>
        <w:t>.</w:t>
      </w:r>
    </w:p>
    <w:p w:rsidR="00470218" w:rsidRPr="00134947" w:rsidRDefault="00470218" w:rsidP="002D38DC">
      <w:pPr>
        <w:spacing w:before="60" w:after="120" w:line="320" w:lineRule="exact"/>
        <w:ind w:firstLine="567"/>
        <w:jc w:val="both"/>
        <w:rPr>
          <w:szCs w:val="28"/>
          <w:lang w:val="hr-HR"/>
        </w:rPr>
      </w:pPr>
      <w:r w:rsidRPr="00134947">
        <w:rPr>
          <w:szCs w:val="28"/>
          <w:lang w:val="hr-HR"/>
        </w:rPr>
        <w:t>1.6. Cơ quan giải quyết thủ tục hành chính:</w:t>
      </w:r>
    </w:p>
    <w:p w:rsidR="00470218" w:rsidRPr="00134947" w:rsidRDefault="00470218" w:rsidP="002D38DC">
      <w:pPr>
        <w:spacing w:before="60" w:after="120" w:line="320" w:lineRule="exact"/>
        <w:ind w:firstLine="567"/>
        <w:jc w:val="both"/>
        <w:rPr>
          <w:szCs w:val="28"/>
          <w:lang w:val="hr-HR"/>
        </w:rPr>
      </w:pPr>
      <w:r w:rsidRPr="00134947">
        <w:rPr>
          <w:szCs w:val="28"/>
          <w:lang w:val="hr-HR"/>
        </w:rPr>
        <w:t xml:space="preserve">+ Cơ quan có thẩm quyền quyết định: </w:t>
      </w:r>
      <w:r>
        <w:rPr>
          <w:spacing w:val="-4"/>
          <w:szCs w:val="28"/>
          <w:lang w:val="nl-NL"/>
        </w:rPr>
        <w:t>Ủy ban nhân dân tỉnh</w:t>
      </w:r>
      <w:r w:rsidRPr="00134947">
        <w:rPr>
          <w:spacing w:val="-4"/>
          <w:szCs w:val="28"/>
          <w:lang w:val="nl-NL"/>
        </w:rPr>
        <w:t>.</w:t>
      </w:r>
    </w:p>
    <w:p w:rsidR="00470218" w:rsidRPr="00134947" w:rsidRDefault="00470218" w:rsidP="002D38DC">
      <w:pPr>
        <w:spacing w:before="60" w:after="120" w:line="320" w:lineRule="exact"/>
        <w:ind w:firstLine="567"/>
        <w:jc w:val="both"/>
        <w:rPr>
          <w:szCs w:val="28"/>
          <w:lang w:val="hr-HR"/>
        </w:rPr>
      </w:pPr>
      <w:r w:rsidRPr="00134947">
        <w:rPr>
          <w:szCs w:val="28"/>
          <w:lang w:val="hr-HR"/>
        </w:rPr>
        <w:t xml:space="preserve">+ Cơ quan trực tiếp thực hiện TTHC: Sở </w:t>
      </w:r>
      <w:r>
        <w:rPr>
          <w:szCs w:val="28"/>
          <w:lang w:val="hr-HR"/>
        </w:rPr>
        <w:t>Giao thông vận tải</w:t>
      </w:r>
    </w:p>
    <w:p w:rsidR="00470218" w:rsidRPr="008872D0" w:rsidRDefault="00470218" w:rsidP="002D38DC">
      <w:pPr>
        <w:spacing w:before="60" w:after="120" w:line="320" w:lineRule="exact"/>
        <w:ind w:firstLine="567"/>
        <w:jc w:val="both"/>
        <w:rPr>
          <w:sz w:val="26"/>
          <w:szCs w:val="26"/>
          <w:lang w:val="sv-SE"/>
        </w:rPr>
      </w:pPr>
      <w:r w:rsidRPr="00134947">
        <w:rPr>
          <w:szCs w:val="28"/>
          <w:lang w:val="hr-HR"/>
        </w:rPr>
        <w:lastRenderedPageBreak/>
        <w:t xml:space="preserve">1.7. Kết quả thực hiện thủ tục hành chính: </w:t>
      </w:r>
      <w:r w:rsidRPr="004D707C">
        <w:t>Quyết định phê duyệt Kế hoạch bảo trì công trình đường bộ đối với đường tỉnh và các tuyến đường khác do Sở Giao thông vận tải quản lý.</w:t>
      </w:r>
    </w:p>
    <w:p w:rsidR="00470218" w:rsidRPr="00134947" w:rsidRDefault="00470218" w:rsidP="002D38DC">
      <w:pPr>
        <w:spacing w:before="60" w:after="120" w:line="320" w:lineRule="exact"/>
        <w:ind w:firstLine="567"/>
        <w:jc w:val="both"/>
        <w:rPr>
          <w:spacing w:val="-6"/>
          <w:szCs w:val="28"/>
          <w:lang w:val="hr-HR"/>
        </w:rPr>
      </w:pPr>
      <w:r w:rsidRPr="00134947">
        <w:rPr>
          <w:spacing w:val="-6"/>
          <w:szCs w:val="28"/>
          <w:lang w:val="hr-HR"/>
        </w:rPr>
        <w:t>1.8. Tên mẫu đơn, mẫu t</w:t>
      </w:r>
      <w:r w:rsidRPr="00134947">
        <w:rPr>
          <w:spacing w:val="-6"/>
          <w:szCs w:val="28"/>
          <w:lang w:val="vi-VN"/>
        </w:rPr>
        <w:t>ờ</w:t>
      </w:r>
      <w:r w:rsidRPr="00134947">
        <w:rPr>
          <w:spacing w:val="-6"/>
          <w:szCs w:val="28"/>
          <w:lang w:val="hr-HR"/>
        </w:rPr>
        <w:t xml:space="preserve"> khai: </w:t>
      </w:r>
      <w:r w:rsidRPr="00134947">
        <w:rPr>
          <w:szCs w:val="28"/>
          <w:lang w:val="sv-SE"/>
        </w:rPr>
        <w:t>Không.</w:t>
      </w:r>
    </w:p>
    <w:p w:rsidR="00470218" w:rsidRPr="00134947" w:rsidRDefault="00470218" w:rsidP="002D38DC">
      <w:pPr>
        <w:spacing w:before="60" w:after="120" w:line="320" w:lineRule="exact"/>
        <w:ind w:firstLine="567"/>
        <w:jc w:val="both"/>
        <w:rPr>
          <w:szCs w:val="28"/>
          <w:lang w:val="hr-HR"/>
        </w:rPr>
      </w:pPr>
      <w:r w:rsidRPr="00134947">
        <w:rPr>
          <w:szCs w:val="28"/>
          <w:lang w:val="hr-HR"/>
        </w:rPr>
        <w:t>1.9. Căn cứ pháp lý của thủ tục hành chính</w:t>
      </w:r>
    </w:p>
    <w:p w:rsidR="00470218" w:rsidRPr="00A330F4" w:rsidRDefault="00470218" w:rsidP="002D38DC">
      <w:pPr>
        <w:spacing w:before="60" w:after="120" w:line="320" w:lineRule="exact"/>
        <w:ind w:firstLine="567"/>
        <w:jc w:val="both"/>
      </w:pPr>
      <w:r>
        <w:t xml:space="preserve">- </w:t>
      </w:r>
      <w:r w:rsidRPr="00A330F4">
        <w:t>Luật Giao thông đường bộ ngày 13/11/2008;</w:t>
      </w:r>
    </w:p>
    <w:p w:rsidR="00470218" w:rsidRPr="00A330F4" w:rsidRDefault="00470218" w:rsidP="002D38DC">
      <w:pPr>
        <w:spacing w:before="60" w:after="120" w:line="320" w:lineRule="exact"/>
        <w:ind w:firstLine="567"/>
        <w:jc w:val="both"/>
      </w:pPr>
      <w:r>
        <w:t xml:space="preserve">- </w:t>
      </w:r>
      <w:r w:rsidRPr="00A330F4">
        <w:t>Nghị định số 11/2010/NĐ-CP ngày 24/02/2010 của Chính phủ quy định về quản lý và bảo vệ kết cấu hạ tầng giao thông đường bộ;</w:t>
      </w:r>
    </w:p>
    <w:p w:rsidR="00470218" w:rsidRPr="00A330F4" w:rsidRDefault="00470218" w:rsidP="002D38DC">
      <w:pPr>
        <w:spacing w:before="60" w:after="120" w:line="320" w:lineRule="exact"/>
        <w:ind w:firstLine="567"/>
        <w:jc w:val="both"/>
      </w:pPr>
      <w:r>
        <w:t xml:space="preserve">- </w:t>
      </w:r>
      <w:r w:rsidRPr="00A330F4">
        <w:t>Nghị định số 100/2013/NĐ-CP ngày 03/9/2013 của Chính phủ về sửa đổi, bổ sung một số điều của Nghị định 11/2010/NĐ-CP ngày 24/02/2010 của Chính phủ quy định về quản lý và bảo vệ kết cấu hạ tầng giao thông đường bộ;</w:t>
      </w:r>
    </w:p>
    <w:p w:rsidR="00470218" w:rsidRPr="00A330F4" w:rsidRDefault="00470218" w:rsidP="002D38DC">
      <w:pPr>
        <w:spacing w:before="60" w:after="120" w:line="320" w:lineRule="exact"/>
        <w:ind w:firstLine="567"/>
        <w:jc w:val="both"/>
      </w:pPr>
      <w:r>
        <w:t xml:space="preserve">- </w:t>
      </w:r>
      <w:r w:rsidRPr="00A330F4">
        <w:t>Nghị định số 06/2021/NĐ-CP ngày 26/01/2021 của Chính phủ quy định chi tiết một số nội dung về quản lý chất lượng, thi công xây dựng và bảo trì công trình xây dựng;</w:t>
      </w:r>
    </w:p>
    <w:p w:rsidR="00470218" w:rsidRPr="00A330F4" w:rsidRDefault="00470218" w:rsidP="002D38DC">
      <w:pPr>
        <w:spacing w:before="60" w:after="120" w:line="320" w:lineRule="exact"/>
        <w:ind w:firstLine="567"/>
        <w:jc w:val="both"/>
      </w:pPr>
      <w:r>
        <w:t xml:space="preserve">- </w:t>
      </w:r>
      <w:r w:rsidRPr="00A330F4">
        <w:t>Nghị định số 117/2021/NĐ-CP ngày 22/12/2021 của Chính phủ sửa đổi, bổ sung một số điều của Nghị định số 11/2010/NĐ-CP ngày 24/02/2010 của Chính phủ quy định về quản lý và bảo vệ kết cấu hạ tầng giao thông đường bộ;</w:t>
      </w:r>
    </w:p>
    <w:p w:rsidR="00470218" w:rsidRPr="00A330F4" w:rsidRDefault="00470218" w:rsidP="002D38DC">
      <w:pPr>
        <w:spacing w:before="60" w:after="120" w:line="320" w:lineRule="exact"/>
        <w:ind w:firstLine="567"/>
        <w:jc w:val="both"/>
      </w:pPr>
      <w:r>
        <w:t xml:space="preserve">- </w:t>
      </w:r>
      <w:r w:rsidRPr="00A330F4">
        <w:t>Thông tư số 37/2018/TT-BGTVT ngày 07/6/2018, Thông tư số 41/2021/TT-BGTVT ngày 31/12/2021 của Bộ trưởng Bộ Giao thông vận tải quy định về quản lý, vận hành khai thác và bảo trì công trình đường bộ;</w:t>
      </w:r>
    </w:p>
    <w:p w:rsidR="00470218" w:rsidRPr="00A330F4" w:rsidRDefault="00470218" w:rsidP="002D38DC">
      <w:pPr>
        <w:spacing w:before="60" w:after="120" w:line="320" w:lineRule="exact"/>
        <w:ind w:firstLine="567"/>
        <w:jc w:val="both"/>
      </w:pPr>
      <w:r>
        <w:t xml:space="preserve">- </w:t>
      </w:r>
      <w:r w:rsidRPr="00A330F4">
        <w:t>Thông tư số 04/2019/TT-BGTVT ngày 23/01/2019 của Bộ trưởng Bộ Giao thông vận tải quy định về tuần đường, tuần kiểm để bảo vệ kết cấu hạ tầng giao thông đường bộ;</w:t>
      </w:r>
    </w:p>
    <w:p w:rsidR="00470218" w:rsidRPr="00594C8E" w:rsidRDefault="00470218" w:rsidP="002D38DC">
      <w:pPr>
        <w:spacing w:before="60" w:after="120" w:line="320" w:lineRule="exact"/>
        <w:ind w:firstLine="567"/>
        <w:jc w:val="both"/>
      </w:pPr>
      <w:r w:rsidRPr="00594C8E">
        <w:t>- Quyết định số 32/2021/QĐ-UBND ngày 29/7/2021 của UBND tỉnh Nam Định ban hành Quy định v</w:t>
      </w:r>
      <w:bookmarkStart w:id="0" w:name="_GoBack"/>
      <w:bookmarkEnd w:id="0"/>
      <w:r w:rsidRPr="00594C8E">
        <w:t>ề quản lý và bảo vệ kết cấu hạ tầng giao thông đường bộ thuộc phạm vi quản lý của Ủy ban nhân dân tỉnh Nam Định;</w:t>
      </w:r>
    </w:p>
    <w:p w:rsidR="00470218" w:rsidRPr="00F01304" w:rsidRDefault="00470218" w:rsidP="002D38DC">
      <w:pPr>
        <w:spacing w:before="60" w:after="120" w:line="320" w:lineRule="exact"/>
        <w:ind w:firstLine="567"/>
        <w:jc w:val="both"/>
      </w:pPr>
      <w:r w:rsidRPr="00594C8E">
        <w:t>- Quyết định số 39/2021/QĐ-UBND ngày 20/9/2021 của UBND tỉnh Nam Định sửa đổi, bổ sung một số điều của Quy định về quản lý và bảo vệ kết cấu hạ tầng giao thông đường bộ thuộc phạm vi quản lý của Ủy ban nhân dân tỉnh Nam Định ban hành kèm theo Quyết định số 32/2021/QĐ-UBND ngày 29/7/2021 của UBND tỉnh Nam Định</w:t>
      </w:r>
      <w:r w:rsidR="006D5256">
        <w:t>.</w:t>
      </w:r>
    </w:p>
    <w:p w:rsidR="008840B9" w:rsidRDefault="008840B9">
      <w:pPr>
        <w:spacing w:after="200" w:line="276" w:lineRule="auto"/>
      </w:pPr>
      <w:r>
        <w:br w:type="page"/>
      </w:r>
    </w:p>
    <w:p w:rsidR="008840B9" w:rsidRPr="002E5337" w:rsidRDefault="008840B9" w:rsidP="00B14F0B">
      <w:pPr>
        <w:spacing w:after="120"/>
        <w:jc w:val="both"/>
        <w:rPr>
          <w:rFonts w:eastAsiaTheme="minorHAnsi"/>
          <w:i/>
          <w:szCs w:val="22"/>
        </w:rPr>
      </w:pPr>
      <w:r>
        <w:rPr>
          <w:b/>
          <w:sz w:val="26"/>
          <w:szCs w:val="26"/>
          <w:lang w:val="hr-HR"/>
        </w:rPr>
        <w:lastRenderedPageBreak/>
        <w:t>Quy trình TTHC nội bộ p</w:t>
      </w:r>
      <w:r w:rsidRPr="00FE2A19">
        <w:rPr>
          <w:b/>
        </w:rPr>
        <w:t>hê duyệt kế hoạch bảo trì công trình đường bộ đối với đường tỉnh và các tuyến đường khác do Sở Giao thông vận tải quản lý</w:t>
      </w:r>
    </w:p>
    <w:tbl>
      <w:tblPr>
        <w:tblW w:w="101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56"/>
        <w:gridCol w:w="7512"/>
      </w:tblGrid>
      <w:tr w:rsidR="008840B9" w:rsidRPr="00F01304" w:rsidTr="00041232">
        <w:trPr>
          <w:trHeight w:val="446"/>
        </w:trPr>
        <w:tc>
          <w:tcPr>
            <w:tcW w:w="710" w:type="dxa"/>
            <w:tcBorders>
              <w:top w:val="single" w:sz="4" w:space="0" w:color="auto"/>
              <w:left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jc w:val="center"/>
              <w:rPr>
                <w:sz w:val="26"/>
                <w:szCs w:val="26"/>
                <w:lang w:val="hr-HR"/>
              </w:rPr>
            </w:pPr>
          </w:p>
        </w:tc>
        <w:tc>
          <w:tcPr>
            <w:tcW w:w="1956" w:type="dxa"/>
            <w:tcBorders>
              <w:top w:val="single" w:sz="4" w:space="0" w:color="auto"/>
              <w:left w:val="single" w:sz="4" w:space="0" w:color="auto"/>
              <w:right w:val="single" w:sz="4" w:space="0" w:color="auto"/>
            </w:tcBorders>
            <w:shd w:val="pct10" w:color="auto" w:fill="auto"/>
            <w:vAlign w:val="center"/>
          </w:tcPr>
          <w:p w:rsidR="008840B9" w:rsidRPr="00F01304" w:rsidRDefault="008840B9" w:rsidP="00041232">
            <w:pPr>
              <w:rPr>
                <w:bCs/>
                <w:sz w:val="26"/>
                <w:szCs w:val="26"/>
                <w:lang w:val="hr-HR"/>
              </w:rPr>
            </w:pPr>
            <w:r w:rsidRPr="00F01304">
              <w:rPr>
                <w:bCs/>
                <w:sz w:val="26"/>
                <w:szCs w:val="26"/>
                <w:lang w:val="hr-HR"/>
              </w:rPr>
              <w:t>Tên TTHC</w:t>
            </w:r>
          </w:p>
        </w:tc>
        <w:tc>
          <w:tcPr>
            <w:tcW w:w="7512" w:type="dxa"/>
            <w:tcBorders>
              <w:top w:val="single" w:sz="4" w:space="0" w:color="auto"/>
              <w:left w:val="single" w:sz="4" w:space="0" w:color="auto"/>
              <w:bottom w:val="single" w:sz="4" w:space="0" w:color="auto"/>
              <w:right w:val="single" w:sz="4" w:space="0" w:color="auto"/>
            </w:tcBorders>
          </w:tcPr>
          <w:p w:rsidR="008840B9" w:rsidRPr="00A05E43" w:rsidRDefault="008840B9" w:rsidP="00041232">
            <w:pPr>
              <w:jc w:val="both"/>
              <w:rPr>
                <w:bCs/>
                <w:sz w:val="26"/>
                <w:szCs w:val="26"/>
                <w:shd w:val="clear" w:color="auto" w:fill="FFFFFF"/>
              </w:rPr>
            </w:pPr>
            <w:r w:rsidRPr="00A05E43">
              <w:rPr>
                <w:sz w:val="26"/>
                <w:szCs w:val="26"/>
              </w:rPr>
              <w:t>Phê duyệt kế hoạch bảo trì công trình đường bộ đối với đường tỉnh và các tuyến đường khác do Sở Giao thông vận tải quản lý</w:t>
            </w:r>
          </w:p>
        </w:tc>
      </w:tr>
      <w:tr w:rsidR="008840B9" w:rsidRPr="00F01304" w:rsidTr="00041232">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jc w:val="center"/>
              <w:rPr>
                <w:sz w:val="26"/>
                <w:szCs w:val="26"/>
                <w:lang w:val="hr-HR"/>
              </w:rPr>
            </w:pPr>
          </w:p>
        </w:tc>
        <w:tc>
          <w:tcPr>
            <w:tcW w:w="1956"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jc w:val="both"/>
              <w:rPr>
                <w:bCs/>
                <w:sz w:val="26"/>
                <w:szCs w:val="26"/>
                <w:lang w:val="hr-HR"/>
              </w:rPr>
            </w:pPr>
            <w:r w:rsidRPr="00F01304">
              <w:rPr>
                <w:bCs/>
                <w:sz w:val="26"/>
                <w:szCs w:val="26"/>
                <w:lang w:val="hr-HR"/>
              </w:rPr>
              <w:t xml:space="preserve">Đơn vị thống kê   </w:t>
            </w:r>
          </w:p>
        </w:tc>
        <w:tc>
          <w:tcPr>
            <w:tcW w:w="7512" w:type="dxa"/>
            <w:tcBorders>
              <w:top w:val="single" w:sz="4" w:space="0" w:color="auto"/>
              <w:left w:val="single" w:sz="4" w:space="0" w:color="auto"/>
              <w:bottom w:val="single" w:sz="4" w:space="0" w:color="auto"/>
              <w:right w:val="single" w:sz="4" w:space="0" w:color="auto"/>
            </w:tcBorders>
            <w:vAlign w:val="center"/>
          </w:tcPr>
          <w:p w:rsidR="008840B9" w:rsidRPr="00A05E43" w:rsidRDefault="008840B9" w:rsidP="00041232">
            <w:pPr>
              <w:tabs>
                <w:tab w:val="left" w:pos="218"/>
              </w:tabs>
              <w:jc w:val="both"/>
              <w:rPr>
                <w:sz w:val="26"/>
                <w:szCs w:val="26"/>
                <w:lang w:val="hr-HR"/>
              </w:rPr>
            </w:pPr>
            <w:r w:rsidRPr="00A05E43">
              <w:rPr>
                <w:spacing w:val="-4"/>
                <w:sz w:val="26"/>
                <w:szCs w:val="26"/>
              </w:rPr>
              <w:t>Sở Giao thông vận tải</w:t>
            </w:r>
          </w:p>
        </w:tc>
      </w:tr>
      <w:tr w:rsidR="008840B9" w:rsidRPr="00F01304" w:rsidTr="00041232">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jc w:val="center"/>
              <w:rPr>
                <w:sz w:val="26"/>
                <w:szCs w:val="26"/>
                <w:lang w:val="hr-HR"/>
              </w:rPr>
            </w:pPr>
          </w:p>
        </w:tc>
        <w:tc>
          <w:tcPr>
            <w:tcW w:w="1956"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jc w:val="both"/>
              <w:rPr>
                <w:bCs/>
                <w:sz w:val="26"/>
                <w:szCs w:val="26"/>
                <w:lang w:val="hr-HR"/>
              </w:rPr>
            </w:pPr>
            <w:r w:rsidRPr="00F01304">
              <w:rPr>
                <w:bCs/>
                <w:sz w:val="26"/>
                <w:szCs w:val="26"/>
                <w:lang w:val="hr-HR"/>
              </w:rPr>
              <w:t>Lĩnh vực</w:t>
            </w:r>
          </w:p>
        </w:tc>
        <w:tc>
          <w:tcPr>
            <w:tcW w:w="7512" w:type="dxa"/>
            <w:tcBorders>
              <w:top w:val="single" w:sz="4" w:space="0" w:color="auto"/>
              <w:left w:val="single" w:sz="4" w:space="0" w:color="auto"/>
              <w:bottom w:val="single" w:sz="4" w:space="0" w:color="auto"/>
              <w:right w:val="single" w:sz="4" w:space="0" w:color="auto"/>
            </w:tcBorders>
            <w:vAlign w:val="center"/>
          </w:tcPr>
          <w:p w:rsidR="008840B9" w:rsidRPr="00A05E43" w:rsidRDefault="008840B9" w:rsidP="00041232">
            <w:pPr>
              <w:tabs>
                <w:tab w:val="left" w:pos="218"/>
              </w:tabs>
              <w:jc w:val="both"/>
              <w:rPr>
                <w:sz w:val="26"/>
                <w:szCs w:val="26"/>
                <w:lang w:val="hr-HR"/>
              </w:rPr>
            </w:pPr>
            <w:r w:rsidRPr="00A05E43">
              <w:rPr>
                <w:sz w:val="26"/>
                <w:szCs w:val="26"/>
                <w:lang w:val="hr-HR"/>
              </w:rPr>
              <w:t>Giao thông đường bộ</w:t>
            </w:r>
          </w:p>
        </w:tc>
      </w:tr>
      <w:tr w:rsidR="008840B9" w:rsidRPr="00F01304" w:rsidTr="00041232">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jc w:val="center"/>
              <w:rPr>
                <w:sz w:val="26"/>
                <w:szCs w:val="26"/>
                <w:lang w:val="hr-HR"/>
              </w:rPr>
            </w:pPr>
          </w:p>
        </w:tc>
        <w:tc>
          <w:tcPr>
            <w:tcW w:w="1956"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jc w:val="center"/>
              <w:rPr>
                <w:sz w:val="26"/>
                <w:szCs w:val="26"/>
                <w:lang w:val="hr-HR"/>
              </w:rPr>
            </w:pPr>
            <w:r w:rsidRPr="00F01304">
              <w:rPr>
                <w:sz w:val="26"/>
                <w:szCs w:val="26"/>
                <w:lang w:val="hr-HR"/>
              </w:rPr>
              <w:t>Văn bản quy định</w:t>
            </w:r>
          </w:p>
        </w:tc>
        <w:tc>
          <w:tcPr>
            <w:tcW w:w="7512" w:type="dxa"/>
            <w:tcBorders>
              <w:top w:val="single" w:sz="4" w:space="0" w:color="auto"/>
              <w:left w:val="single" w:sz="4" w:space="0" w:color="auto"/>
              <w:bottom w:val="single" w:sz="4" w:space="0" w:color="auto"/>
              <w:right w:val="single" w:sz="4" w:space="0" w:color="auto"/>
            </w:tcBorders>
            <w:vAlign w:val="center"/>
          </w:tcPr>
          <w:p w:rsidR="008840B9" w:rsidRPr="00A05E43" w:rsidRDefault="008840B9" w:rsidP="00041232">
            <w:pPr>
              <w:jc w:val="both"/>
              <w:rPr>
                <w:sz w:val="26"/>
                <w:szCs w:val="26"/>
              </w:rPr>
            </w:pPr>
            <w:r w:rsidRPr="00A05E43">
              <w:rPr>
                <w:sz w:val="26"/>
                <w:szCs w:val="26"/>
              </w:rPr>
              <w:t>- Luật Giao thông đường bộ ngày 13/11/2008;</w:t>
            </w:r>
          </w:p>
          <w:p w:rsidR="008840B9" w:rsidRPr="00A05E43" w:rsidRDefault="008840B9" w:rsidP="00041232">
            <w:pPr>
              <w:jc w:val="both"/>
              <w:rPr>
                <w:sz w:val="26"/>
                <w:szCs w:val="26"/>
              </w:rPr>
            </w:pPr>
            <w:r w:rsidRPr="00A05E43">
              <w:rPr>
                <w:sz w:val="26"/>
                <w:szCs w:val="26"/>
              </w:rPr>
              <w:t>- Nghị định số 11/2010/NĐ-CP ngày 24/02/2010 của Chính phủ quy định về quản lý và bảo vệ kết cấu hạ tầng giao thông đường bộ;</w:t>
            </w:r>
          </w:p>
          <w:p w:rsidR="008840B9" w:rsidRPr="00A05E43" w:rsidRDefault="008840B9" w:rsidP="00041232">
            <w:pPr>
              <w:jc w:val="both"/>
              <w:rPr>
                <w:sz w:val="26"/>
                <w:szCs w:val="26"/>
              </w:rPr>
            </w:pPr>
            <w:r w:rsidRPr="00A05E43">
              <w:rPr>
                <w:sz w:val="26"/>
                <w:szCs w:val="26"/>
              </w:rPr>
              <w:t>- Nghị định số 100/2013/NĐ-CP ngày 03/9/2013 của Chính phủ về sửa đổi, bổ sung một số điều của Nghị định 11/2010/NĐ-CP ngày 24/02/2010 của Chính phủ quy định về quản lý và bảo vệ kết cấu hạ tầng giao thông đường bộ;</w:t>
            </w:r>
          </w:p>
          <w:p w:rsidR="008840B9" w:rsidRPr="00A05E43" w:rsidRDefault="008840B9" w:rsidP="00041232">
            <w:pPr>
              <w:jc w:val="both"/>
              <w:rPr>
                <w:sz w:val="26"/>
                <w:szCs w:val="26"/>
              </w:rPr>
            </w:pPr>
            <w:r w:rsidRPr="00A05E43">
              <w:rPr>
                <w:sz w:val="26"/>
                <w:szCs w:val="26"/>
              </w:rPr>
              <w:t>- Nghị định số 06/2021/NĐ-CP ngày 26/01/2021 của Chính phủ quy định chi tiết một số nội dung về quản lý chất lượng, thi công xây dựng và bảo trì công trình xây dựng;</w:t>
            </w:r>
          </w:p>
          <w:p w:rsidR="008840B9" w:rsidRPr="00A05E43" w:rsidRDefault="008840B9" w:rsidP="00041232">
            <w:pPr>
              <w:jc w:val="both"/>
              <w:rPr>
                <w:sz w:val="26"/>
                <w:szCs w:val="26"/>
              </w:rPr>
            </w:pPr>
            <w:r w:rsidRPr="00A05E43">
              <w:rPr>
                <w:sz w:val="26"/>
                <w:szCs w:val="26"/>
              </w:rPr>
              <w:t>- Nghị định số 117/2021/NĐ-CP ngày 22/12/2021 của Chính phủ sửa đổi, bổ sung một số điều của Nghị định số 11/2010/NĐ-CP ngày 24/02/2010 của Chính phủ quy định về quản lý và bảo vệ kết cấu hạ tầng giao thông đường bộ;</w:t>
            </w:r>
          </w:p>
          <w:p w:rsidR="008840B9" w:rsidRPr="00A05E43" w:rsidRDefault="008840B9" w:rsidP="00041232">
            <w:pPr>
              <w:jc w:val="both"/>
              <w:rPr>
                <w:sz w:val="26"/>
                <w:szCs w:val="26"/>
              </w:rPr>
            </w:pPr>
            <w:r w:rsidRPr="00A05E43">
              <w:rPr>
                <w:sz w:val="26"/>
                <w:szCs w:val="26"/>
              </w:rPr>
              <w:t>- Thông tư số 37/2018/TT-BGTVT ngày 07/6/2018, Thông tư số 41/2021/TT-BGTVT ngày 31/12/2021 của Bộ trưởng Bộ Giao thông vận tải quy định về quản lý, vận hành khai thác và bảo trì công trình đường bộ;</w:t>
            </w:r>
          </w:p>
          <w:p w:rsidR="008840B9" w:rsidRPr="00A05E43" w:rsidRDefault="008840B9" w:rsidP="00041232">
            <w:pPr>
              <w:jc w:val="both"/>
              <w:rPr>
                <w:sz w:val="26"/>
                <w:szCs w:val="26"/>
              </w:rPr>
            </w:pPr>
            <w:r w:rsidRPr="00A05E43">
              <w:rPr>
                <w:sz w:val="26"/>
                <w:szCs w:val="26"/>
              </w:rPr>
              <w:t>- Thông tư số 04/2019/TT-BGTVT ngày 23/01/2019 của Bộ trưởng Bộ Giao thông vận tải quy định về tuần đường, tuần kiểm để bảo vệ kết cấu hạ tầng giao thông đường bộ;</w:t>
            </w:r>
          </w:p>
          <w:p w:rsidR="008840B9" w:rsidRDefault="008840B9" w:rsidP="00041232">
            <w:pPr>
              <w:jc w:val="both"/>
              <w:rPr>
                <w:sz w:val="26"/>
                <w:szCs w:val="26"/>
              </w:rPr>
            </w:pPr>
            <w:r w:rsidRPr="00A05E43">
              <w:rPr>
                <w:sz w:val="26"/>
                <w:szCs w:val="26"/>
              </w:rPr>
              <w:t>- Thông tư số 50/2015/TT-BGTVT ngày 23/9/2015, Thông tư số 35/2017/TT-BGTVT ngày 09/10/2017, Thông tư số 13/2020/TT-BGTVT ngày 29/6/2020, Thông tư số 39/2021/TT-BGTVT ngày 31/12/2021 của Bộ trưởng Bộ Giao thông vận tải hướng dẫn thực hiện một số điều của Nghị định số 11/2010/NĐ-CP ngày 24/02/2010 của Chính phủ quy định về quản lý và bảo vệ kết cấu hạ tầng giao thông đường bộ;</w:t>
            </w:r>
          </w:p>
          <w:p w:rsidR="008840B9" w:rsidRDefault="008840B9" w:rsidP="00041232">
            <w:pPr>
              <w:jc w:val="both"/>
              <w:rPr>
                <w:sz w:val="26"/>
                <w:szCs w:val="26"/>
              </w:rPr>
            </w:pPr>
            <w:r>
              <w:rPr>
                <w:sz w:val="26"/>
                <w:szCs w:val="26"/>
              </w:rPr>
              <w:t>- Quyết định số 32/2021/QĐ-UBND ngày 29/7/2021 của UBND tỉnh Nam Định ban hành Quy định về quản lý và bảo vệ kết cấu hạ tầng giao thông đường bộ thuộc phạm vi quản lý của Ủy ban nhân dân tỉnh Nam Định;</w:t>
            </w:r>
          </w:p>
          <w:p w:rsidR="008840B9" w:rsidRPr="00A05E43" w:rsidRDefault="008840B9" w:rsidP="00041232">
            <w:pPr>
              <w:jc w:val="both"/>
              <w:rPr>
                <w:sz w:val="26"/>
                <w:szCs w:val="26"/>
              </w:rPr>
            </w:pPr>
            <w:r>
              <w:rPr>
                <w:sz w:val="26"/>
                <w:szCs w:val="26"/>
              </w:rPr>
              <w:t>- Quyết định số 39/2021/QĐ-UBND ngày 20/9/2021 của UBND tỉnh Nam Định sửa đổi, bổ sung một số điều của Quy định về quản lý và bảo vệ kết cấu hạ tầng giao thông đường bộ thuộc phạm vi quản lý của Ủy ban nhân dân tỉnh Nam Định ban hành kèm theo Quyết định số 32/2021/QĐ-UBND ngày 29/7/2021 của UBND tỉnh Nam Định;</w:t>
            </w:r>
          </w:p>
        </w:tc>
      </w:tr>
      <w:tr w:rsidR="008840B9" w:rsidRPr="00F01304" w:rsidTr="00041232">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jc w:val="center"/>
              <w:rPr>
                <w:sz w:val="26"/>
                <w:szCs w:val="26"/>
                <w:lang w:val="hr-HR"/>
              </w:rPr>
            </w:pPr>
          </w:p>
        </w:tc>
        <w:tc>
          <w:tcPr>
            <w:tcW w:w="1956"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jc w:val="center"/>
              <w:rPr>
                <w:sz w:val="26"/>
                <w:szCs w:val="26"/>
                <w:lang w:val="hr-HR"/>
              </w:rPr>
            </w:pPr>
            <w:r w:rsidRPr="00F01304">
              <w:rPr>
                <w:sz w:val="26"/>
                <w:szCs w:val="26"/>
                <w:lang w:val="hr-HR"/>
              </w:rPr>
              <w:t>Trình tự thực hiện</w:t>
            </w:r>
          </w:p>
        </w:tc>
        <w:tc>
          <w:tcPr>
            <w:tcW w:w="7512" w:type="dxa"/>
            <w:tcBorders>
              <w:top w:val="single" w:sz="4" w:space="0" w:color="auto"/>
              <w:left w:val="single" w:sz="4" w:space="0" w:color="auto"/>
              <w:bottom w:val="single" w:sz="4" w:space="0" w:color="auto"/>
              <w:right w:val="single" w:sz="4" w:space="0" w:color="auto"/>
            </w:tcBorders>
            <w:vAlign w:val="center"/>
          </w:tcPr>
          <w:p w:rsidR="008840B9" w:rsidRPr="00A05E43" w:rsidRDefault="008840B9" w:rsidP="00041232">
            <w:pPr>
              <w:shd w:val="clear" w:color="auto" w:fill="FFFFFF"/>
              <w:jc w:val="both"/>
              <w:rPr>
                <w:sz w:val="26"/>
                <w:szCs w:val="26"/>
              </w:rPr>
            </w:pPr>
            <w:r w:rsidRPr="00A05E43">
              <w:rPr>
                <w:iCs/>
                <w:sz w:val="26"/>
                <w:szCs w:val="26"/>
                <w:shd w:val="clear" w:color="auto" w:fill="FFFFFF"/>
              </w:rPr>
              <w:sym w:font="Wingdings 2" w:char="F052"/>
            </w:r>
            <w:r w:rsidRPr="00A05E43">
              <w:rPr>
                <w:sz w:val="26"/>
                <w:szCs w:val="26"/>
                <w:lang w:val="hr-HR"/>
              </w:rPr>
              <w:t xml:space="preserve"> Có quy định: </w:t>
            </w:r>
            <w:r w:rsidRPr="00A05E43">
              <w:rPr>
                <w:sz w:val="26"/>
                <w:szCs w:val="26"/>
              </w:rPr>
              <w:t>Nhập các bước thực hiện TTHC kèm thời gian cụ thể từng bước.</w:t>
            </w:r>
          </w:p>
          <w:p w:rsidR="008840B9" w:rsidRPr="00A05E43" w:rsidRDefault="008840B9" w:rsidP="00041232">
            <w:pPr>
              <w:spacing w:before="120"/>
              <w:jc w:val="both"/>
              <w:rPr>
                <w:iCs/>
                <w:sz w:val="26"/>
                <w:szCs w:val="26"/>
              </w:rPr>
            </w:pPr>
            <w:r w:rsidRPr="00A05E43">
              <w:rPr>
                <w:iCs/>
                <w:sz w:val="26"/>
                <w:szCs w:val="26"/>
              </w:rPr>
              <w:t xml:space="preserve">- Bước 1: Cơ quan quản lý đường bộ </w:t>
            </w:r>
            <w:r>
              <w:rPr>
                <w:iCs/>
                <w:sz w:val="26"/>
                <w:szCs w:val="26"/>
              </w:rPr>
              <w:t>đư</w:t>
            </w:r>
            <w:r w:rsidRPr="005C7F0B">
              <w:rPr>
                <w:iCs/>
                <w:sz w:val="26"/>
                <w:szCs w:val="26"/>
              </w:rPr>
              <w:t>ợc</w:t>
            </w:r>
            <w:r>
              <w:rPr>
                <w:iCs/>
                <w:sz w:val="26"/>
                <w:szCs w:val="26"/>
              </w:rPr>
              <w:t xml:space="preserve"> S</w:t>
            </w:r>
            <w:r w:rsidRPr="005C7F0B">
              <w:rPr>
                <w:iCs/>
                <w:sz w:val="26"/>
                <w:szCs w:val="26"/>
              </w:rPr>
              <w:t>ở</w:t>
            </w:r>
            <w:r>
              <w:rPr>
                <w:iCs/>
                <w:sz w:val="26"/>
                <w:szCs w:val="26"/>
              </w:rPr>
              <w:t xml:space="preserve"> Giao th</w:t>
            </w:r>
            <w:r w:rsidRPr="005C7F0B">
              <w:rPr>
                <w:iCs/>
                <w:sz w:val="26"/>
                <w:szCs w:val="26"/>
              </w:rPr>
              <w:t>ô</w:t>
            </w:r>
            <w:r>
              <w:rPr>
                <w:iCs/>
                <w:sz w:val="26"/>
                <w:szCs w:val="26"/>
              </w:rPr>
              <w:t>ng v</w:t>
            </w:r>
            <w:r w:rsidRPr="005C7F0B">
              <w:rPr>
                <w:iCs/>
                <w:sz w:val="26"/>
                <w:szCs w:val="26"/>
              </w:rPr>
              <w:t>ận</w:t>
            </w:r>
            <w:r>
              <w:rPr>
                <w:iCs/>
                <w:sz w:val="26"/>
                <w:szCs w:val="26"/>
              </w:rPr>
              <w:t xml:space="preserve"> t</w:t>
            </w:r>
            <w:r w:rsidRPr="005C7F0B">
              <w:rPr>
                <w:iCs/>
                <w:sz w:val="26"/>
                <w:szCs w:val="26"/>
              </w:rPr>
              <w:t>ải</w:t>
            </w:r>
            <w:r>
              <w:rPr>
                <w:iCs/>
                <w:sz w:val="26"/>
                <w:szCs w:val="26"/>
              </w:rPr>
              <w:t xml:space="preserve"> giao qu</w:t>
            </w:r>
            <w:r w:rsidRPr="005C7F0B">
              <w:rPr>
                <w:iCs/>
                <w:sz w:val="26"/>
                <w:szCs w:val="26"/>
              </w:rPr>
              <w:t>ản</w:t>
            </w:r>
            <w:r>
              <w:rPr>
                <w:iCs/>
                <w:sz w:val="26"/>
                <w:szCs w:val="26"/>
              </w:rPr>
              <w:t xml:space="preserve"> l</w:t>
            </w:r>
            <w:r w:rsidRPr="005C7F0B">
              <w:rPr>
                <w:iCs/>
                <w:sz w:val="26"/>
                <w:szCs w:val="26"/>
              </w:rPr>
              <w:t>ý</w:t>
            </w:r>
            <w:r w:rsidRPr="00A05E43">
              <w:rPr>
                <w:iCs/>
                <w:sz w:val="26"/>
                <w:szCs w:val="26"/>
              </w:rPr>
              <w:t xml:space="preserve"> lập danh mục, nhu cầu bảo trì đối với công tác bảo dưỡng </w:t>
            </w:r>
            <w:r w:rsidRPr="00A05E43">
              <w:rPr>
                <w:iCs/>
                <w:sz w:val="26"/>
                <w:szCs w:val="26"/>
              </w:rPr>
              <w:lastRenderedPageBreak/>
              <w:t xml:space="preserve">thường xuyên, sửa chữa định kỳ các tuyến đường </w:t>
            </w:r>
            <w:r>
              <w:rPr>
                <w:iCs/>
                <w:sz w:val="26"/>
                <w:szCs w:val="26"/>
              </w:rPr>
              <w:t>b</w:t>
            </w:r>
            <w:r w:rsidRPr="005C7F0B">
              <w:rPr>
                <w:iCs/>
                <w:sz w:val="26"/>
                <w:szCs w:val="26"/>
              </w:rPr>
              <w:t>ộ</w:t>
            </w:r>
            <w:r w:rsidRPr="00A05E43">
              <w:rPr>
                <w:sz w:val="26"/>
                <w:szCs w:val="26"/>
              </w:rPr>
              <w:t>do Sở Giao thông vận tải quản lý</w:t>
            </w:r>
            <w:r>
              <w:rPr>
                <w:sz w:val="26"/>
                <w:szCs w:val="26"/>
              </w:rPr>
              <w:t xml:space="preserve"> </w:t>
            </w:r>
            <w:r w:rsidRPr="00A05E43">
              <w:rPr>
                <w:iCs/>
                <w:sz w:val="26"/>
                <w:szCs w:val="26"/>
              </w:rPr>
              <w:t xml:space="preserve">gửi Sở Giao thông vận tải </w:t>
            </w:r>
            <w:r w:rsidRPr="00A05E43">
              <w:rPr>
                <w:sz w:val="26"/>
                <w:szCs w:val="26"/>
              </w:rPr>
              <w:t>trước ngày 30 tháng 9 hàng năm</w:t>
            </w:r>
          </w:p>
          <w:p w:rsidR="008840B9" w:rsidRPr="00A05E43" w:rsidRDefault="008840B9" w:rsidP="00041232">
            <w:pPr>
              <w:spacing w:before="120"/>
              <w:jc w:val="both"/>
              <w:rPr>
                <w:iCs/>
                <w:sz w:val="26"/>
                <w:szCs w:val="26"/>
              </w:rPr>
            </w:pPr>
            <w:r w:rsidRPr="00A05E43">
              <w:rPr>
                <w:sz w:val="26"/>
                <w:szCs w:val="26"/>
              </w:rPr>
              <w:t xml:space="preserve">- Bước 2: Sở Giao thông vận tải tổng hợp, lập Kế hoạch bảo trì công trình đường bộ do Sở Giao thông vận tải quản lý, lấy ý kiến của Sở </w:t>
            </w:r>
            <w:r>
              <w:rPr>
                <w:sz w:val="26"/>
                <w:szCs w:val="26"/>
              </w:rPr>
              <w:t>ng</w:t>
            </w:r>
            <w:r w:rsidRPr="005C7F0B">
              <w:rPr>
                <w:sz w:val="26"/>
                <w:szCs w:val="26"/>
              </w:rPr>
              <w:t>ành</w:t>
            </w:r>
            <w:r>
              <w:rPr>
                <w:sz w:val="26"/>
                <w:szCs w:val="26"/>
              </w:rPr>
              <w:t xml:space="preserve"> c</w:t>
            </w:r>
            <w:r w:rsidRPr="005C7F0B">
              <w:rPr>
                <w:sz w:val="26"/>
                <w:szCs w:val="26"/>
              </w:rPr>
              <w:t>ó</w:t>
            </w:r>
            <w:r>
              <w:rPr>
                <w:sz w:val="26"/>
                <w:szCs w:val="26"/>
              </w:rPr>
              <w:t xml:space="preserve"> li</w:t>
            </w:r>
            <w:r w:rsidRPr="005C7F0B">
              <w:rPr>
                <w:sz w:val="26"/>
                <w:szCs w:val="26"/>
              </w:rPr>
              <w:t>ê</w:t>
            </w:r>
            <w:r>
              <w:rPr>
                <w:sz w:val="26"/>
                <w:szCs w:val="26"/>
              </w:rPr>
              <w:t xml:space="preserve">n quan, </w:t>
            </w:r>
            <w:r w:rsidRPr="00A05E43">
              <w:rPr>
                <w:sz w:val="26"/>
                <w:szCs w:val="26"/>
              </w:rPr>
              <w:t xml:space="preserve">trình Chủ tịch UBND tỉnh phê duyệt trước 30 tháng 10 hàng năm. </w:t>
            </w:r>
          </w:p>
          <w:p w:rsidR="008840B9" w:rsidRPr="00A05E43" w:rsidRDefault="008840B9" w:rsidP="00041232">
            <w:pPr>
              <w:shd w:val="clear" w:color="auto" w:fill="FFFFFF"/>
              <w:jc w:val="both"/>
              <w:rPr>
                <w:i/>
                <w:sz w:val="26"/>
                <w:szCs w:val="26"/>
              </w:rPr>
            </w:pPr>
            <w:r w:rsidRPr="00A05E43">
              <w:rPr>
                <w:iCs/>
                <w:sz w:val="26"/>
                <w:szCs w:val="26"/>
                <w:shd w:val="clear" w:color="auto" w:fill="FFFFFF"/>
              </w:rPr>
              <w:sym w:font="Wingdings" w:char="F0A8"/>
            </w:r>
            <w:r w:rsidRPr="00A05E43">
              <w:rPr>
                <w:sz w:val="26"/>
                <w:szCs w:val="26"/>
                <w:lang w:val="hr-HR"/>
              </w:rPr>
              <w:t xml:space="preserve"> Không quy định: Tích chọn trong trường hợp không có quy định.</w:t>
            </w:r>
          </w:p>
        </w:tc>
      </w:tr>
      <w:tr w:rsidR="008840B9" w:rsidRPr="00F01304" w:rsidTr="00041232">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jc w:val="center"/>
              <w:rPr>
                <w:sz w:val="26"/>
                <w:szCs w:val="26"/>
                <w:lang w:val="hr-HR"/>
              </w:rPr>
            </w:pPr>
          </w:p>
        </w:tc>
        <w:tc>
          <w:tcPr>
            <w:tcW w:w="1956"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jc w:val="both"/>
              <w:rPr>
                <w:sz w:val="26"/>
                <w:szCs w:val="26"/>
                <w:lang w:val="hr-HR"/>
              </w:rPr>
            </w:pPr>
            <w:r w:rsidRPr="00F01304">
              <w:rPr>
                <w:sz w:val="26"/>
                <w:szCs w:val="26"/>
              </w:rPr>
              <w:t>Cách thức thực hiện</w:t>
            </w:r>
          </w:p>
        </w:tc>
        <w:tc>
          <w:tcPr>
            <w:tcW w:w="7512" w:type="dxa"/>
            <w:tcBorders>
              <w:top w:val="single" w:sz="4" w:space="0" w:color="auto"/>
              <w:left w:val="single" w:sz="4" w:space="0" w:color="auto"/>
              <w:bottom w:val="single" w:sz="4" w:space="0" w:color="auto"/>
              <w:right w:val="single" w:sz="4" w:space="0" w:color="auto"/>
            </w:tcBorders>
            <w:vAlign w:val="center"/>
          </w:tcPr>
          <w:p w:rsidR="008840B9" w:rsidRPr="00A05E43" w:rsidRDefault="008840B9" w:rsidP="00041232">
            <w:pPr>
              <w:jc w:val="both"/>
              <w:rPr>
                <w:sz w:val="26"/>
                <w:szCs w:val="26"/>
                <w:lang w:val="hr-HR"/>
              </w:rPr>
            </w:pPr>
            <w:r w:rsidRPr="00A05E43">
              <w:rPr>
                <w:sz w:val="26"/>
                <w:szCs w:val="26"/>
                <w:lang w:val="hr-HR"/>
              </w:rPr>
              <w:t>Tích chọn nhiều phương án trong các phương án sau:</w:t>
            </w:r>
          </w:p>
          <w:p w:rsidR="008840B9" w:rsidRPr="00A05E43" w:rsidRDefault="008840B9" w:rsidP="00041232">
            <w:pPr>
              <w:jc w:val="both"/>
              <w:rPr>
                <w:sz w:val="26"/>
                <w:szCs w:val="26"/>
                <w:lang w:val="hr-HR"/>
              </w:rPr>
            </w:pPr>
            <w:r w:rsidRPr="00A05E43">
              <w:rPr>
                <w:iCs/>
                <w:sz w:val="26"/>
                <w:szCs w:val="26"/>
                <w:shd w:val="clear" w:color="auto" w:fill="FFFFFF"/>
              </w:rPr>
              <w:sym w:font="Wingdings" w:char="F0A8"/>
            </w:r>
            <w:r>
              <w:rPr>
                <w:iCs/>
                <w:sz w:val="26"/>
                <w:szCs w:val="26"/>
                <w:shd w:val="clear" w:color="auto" w:fill="FFFFFF"/>
              </w:rPr>
              <w:t xml:space="preserve"> </w:t>
            </w:r>
            <w:r w:rsidRPr="00A05E43">
              <w:rPr>
                <w:sz w:val="26"/>
                <w:szCs w:val="26"/>
                <w:lang w:val="hr-HR"/>
              </w:rPr>
              <w:t>Trực tiếp</w:t>
            </w:r>
          </w:p>
          <w:p w:rsidR="008840B9" w:rsidRPr="00A05E43" w:rsidRDefault="008840B9" w:rsidP="00041232">
            <w:pPr>
              <w:jc w:val="both"/>
              <w:rPr>
                <w:sz w:val="26"/>
                <w:szCs w:val="26"/>
                <w:lang w:val="hr-HR"/>
              </w:rPr>
            </w:pPr>
            <w:r w:rsidRPr="00A05E43">
              <w:rPr>
                <w:iCs/>
                <w:sz w:val="26"/>
                <w:szCs w:val="26"/>
                <w:shd w:val="clear" w:color="auto" w:fill="FFFFFF"/>
              </w:rPr>
              <w:sym w:font="Wingdings" w:char="F0A8"/>
            </w:r>
            <w:r>
              <w:rPr>
                <w:iCs/>
                <w:sz w:val="26"/>
                <w:szCs w:val="26"/>
                <w:shd w:val="clear" w:color="auto" w:fill="FFFFFF"/>
              </w:rPr>
              <w:t xml:space="preserve"> </w:t>
            </w:r>
            <w:r w:rsidRPr="00A05E43">
              <w:rPr>
                <w:sz w:val="26"/>
                <w:szCs w:val="26"/>
                <w:lang w:val="hr-HR"/>
              </w:rPr>
              <w:t>Trực tuyến</w:t>
            </w:r>
          </w:p>
          <w:p w:rsidR="008840B9" w:rsidRPr="00A05E43" w:rsidRDefault="008840B9" w:rsidP="00041232">
            <w:pPr>
              <w:jc w:val="both"/>
              <w:rPr>
                <w:sz w:val="26"/>
                <w:szCs w:val="26"/>
                <w:lang w:val="hr-HR"/>
              </w:rPr>
            </w:pPr>
            <w:r w:rsidRPr="00A05E43">
              <w:rPr>
                <w:iCs/>
                <w:sz w:val="26"/>
                <w:szCs w:val="26"/>
                <w:shd w:val="clear" w:color="auto" w:fill="FFFFFF"/>
              </w:rPr>
              <w:sym w:font="Wingdings" w:char="F0A8"/>
            </w:r>
            <w:r w:rsidRPr="00A05E43">
              <w:rPr>
                <w:sz w:val="26"/>
                <w:szCs w:val="26"/>
                <w:lang w:val="hr-HR"/>
              </w:rPr>
              <w:t xml:space="preserve"> Qua dịch vụ bưu chính</w:t>
            </w:r>
          </w:p>
          <w:p w:rsidR="008840B9" w:rsidRPr="00A05E43" w:rsidRDefault="008840B9" w:rsidP="00041232">
            <w:pPr>
              <w:jc w:val="both"/>
              <w:rPr>
                <w:sz w:val="26"/>
                <w:szCs w:val="26"/>
                <w:lang w:val="hr-HR"/>
              </w:rPr>
            </w:pPr>
            <w:r w:rsidRPr="00A05E43">
              <w:rPr>
                <w:iCs/>
                <w:sz w:val="26"/>
                <w:szCs w:val="26"/>
                <w:shd w:val="clear" w:color="auto" w:fill="FFFFFF"/>
              </w:rPr>
              <w:sym w:font="Wingdings" w:char="F0A8"/>
            </w:r>
            <w:r w:rsidRPr="00A05E43">
              <w:rPr>
                <w:sz w:val="26"/>
                <w:szCs w:val="26"/>
                <w:lang w:val="hr-HR"/>
              </w:rPr>
              <w:t xml:space="preserve"> Không quy định (trường hợp chọn phương án này thì chỉ chọn 1).</w:t>
            </w:r>
          </w:p>
        </w:tc>
      </w:tr>
      <w:tr w:rsidR="008840B9" w:rsidRPr="00F01304" w:rsidTr="00041232">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jc w:val="center"/>
              <w:rPr>
                <w:sz w:val="26"/>
                <w:szCs w:val="26"/>
                <w:lang w:val="hr-HR"/>
              </w:rPr>
            </w:pPr>
          </w:p>
        </w:tc>
        <w:tc>
          <w:tcPr>
            <w:tcW w:w="1956"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jc w:val="both"/>
              <w:rPr>
                <w:sz w:val="26"/>
                <w:szCs w:val="26"/>
              </w:rPr>
            </w:pPr>
            <w:r w:rsidRPr="00F01304">
              <w:rPr>
                <w:sz w:val="26"/>
                <w:szCs w:val="26"/>
              </w:rPr>
              <w:t>Thành phần, số l</w:t>
            </w:r>
            <w:r w:rsidRPr="00F01304">
              <w:rPr>
                <w:sz w:val="26"/>
                <w:szCs w:val="26"/>
                <w:lang w:val="vi-VN"/>
              </w:rPr>
              <w:t>ượ</w:t>
            </w:r>
            <w:r w:rsidRPr="00F01304">
              <w:rPr>
                <w:sz w:val="26"/>
                <w:szCs w:val="26"/>
              </w:rPr>
              <w:t>ng hồ sơ</w:t>
            </w:r>
          </w:p>
        </w:tc>
        <w:tc>
          <w:tcPr>
            <w:tcW w:w="7512" w:type="dxa"/>
            <w:tcBorders>
              <w:top w:val="single" w:sz="4" w:space="0" w:color="auto"/>
              <w:left w:val="single" w:sz="4" w:space="0" w:color="auto"/>
              <w:bottom w:val="single" w:sz="4" w:space="0" w:color="auto"/>
              <w:right w:val="single" w:sz="4" w:space="0" w:color="auto"/>
            </w:tcBorders>
            <w:vAlign w:val="center"/>
          </w:tcPr>
          <w:p w:rsidR="008840B9" w:rsidRPr="00A05E43" w:rsidRDefault="008840B9" w:rsidP="00041232">
            <w:pPr>
              <w:shd w:val="clear" w:color="auto" w:fill="FFFFFF"/>
              <w:jc w:val="both"/>
              <w:rPr>
                <w:sz w:val="26"/>
                <w:szCs w:val="26"/>
              </w:rPr>
            </w:pPr>
            <w:r w:rsidRPr="00A05E43">
              <w:rPr>
                <w:iCs/>
                <w:sz w:val="26"/>
                <w:szCs w:val="26"/>
                <w:shd w:val="clear" w:color="auto" w:fill="FFFFFF"/>
              </w:rPr>
              <w:sym w:font="Wingdings 2" w:char="F052"/>
            </w:r>
            <w:r w:rsidRPr="00A05E43">
              <w:rPr>
                <w:sz w:val="26"/>
                <w:szCs w:val="26"/>
                <w:lang w:val="hr-HR"/>
              </w:rPr>
              <w:t xml:space="preserve"> Có quy định: </w:t>
            </w:r>
            <w:r w:rsidRPr="00A05E43">
              <w:rPr>
                <w:sz w:val="26"/>
                <w:szCs w:val="26"/>
              </w:rPr>
              <w:t xml:space="preserve">Nhập từng thành phần hồ sơ và yêu cầu của hồ sơ (bản chính, bản sao, bản sao công chứng…), kèm theo số lượng của từng hồ sơ. </w:t>
            </w:r>
          </w:p>
          <w:p w:rsidR="008840B9" w:rsidRPr="00A05E43" w:rsidRDefault="008840B9" w:rsidP="00041232">
            <w:pPr>
              <w:spacing w:before="120"/>
              <w:jc w:val="both"/>
              <w:rPr>
                <w:i/>
                <w:iCs/>
                <w:sz w:val="26"/>
                <w:szCs w:val="26"/>
              </w:rPr>
            </w:pPr>
            <w:r w:rsidRPr="00A05E43">
              <w:rPr>
                <w:i/>
                <w:iCs/>
                <w:sz w:val="26"/>
                <w:szCs w:val="26"/>
              </w:rPr>
              <w:t>7.1. Thành phần hồ sơ bao gồm:</w:t>
            </w:r>
          </w:p>
          <w:p w:rsidR="008840B9" w:rsidRPr="00A05E43" w:rsidRDefault="008840B9" w:rsidP="00041232">
            <w:pPr>
              <w:tabs>
                <w:tab w:val="left" w:pos="709"/>
              </w:tabs>
              <w:spacing w:before="120"/>
              <w:jc w:val="both"/>
              <w:rPr>
                <w:sz w:val="26"/>
                <w:szCs w:val="26"/>
              </w:rPr>
            </w:pPr>
            <w:r w:rsidRPr="00A05E43">
              <w:rPr>
                <w:sz w:val="26"/>
                <w:szCs w:val="26"/>
              </w:rPr>
              <w:t>- Văn bản đề nghị bảo trì công trình trên tuyến đường tỉnh được giao quản lý (bản chính).</w:t>
            </w:r>
          </w:p>
          <w:p w:rsidR="008840B9" w:rsidRPr="00A05E43" w:rsidRDefault="008840B9" w:rsidP="00041232">
            <w:pPr>
              <w:tabs>
                <w:tab w:val="left" w:pos="709"/>
              </w:tabs>
              <w:spacing w:before="120"/>
              <w:jc w:val="both"/>
              <w:rPr>
                <w:sz w:val="26"/>
                <w:szCs w:val="26"/>
              </w:rPr>
            </w:pPr>
            <w:r w:rsidRPr="00A05E43">
              <w:rPr>
                <w:sz w:val="26"/>
                <w:szCs w:val="26"/>
              </w:rPr>
              <w:t>- Danh mục công trình đề nghị bảo trì (bản chính).</w:t>
            </w:r>
          </w:p>
          <w:p w:rsidR="008840B9" w:rsidRPr="00A05E43" w:rsidRDefault="008840B9" w:rsidP="00041232">
            <w:pPr>
              <w:spacing w:before="120"/>
              <w:jc w:val="both"/>
              <w:rPr>
                <w:sz w:val="26"/>
                <w:szCs w:val="26"/>
              </w:rPr>
            </w:pPr>
            <w:r w:rsidRPr="00A05E43">
              <w:rPr>
                <w:i/>
                <w:iCs/>
                <w:sz w:val="26"/>
                <w:szCs w:val="26"/>
              </w:rPr>
              <w:t xml:space="preserve">7.2.  Số lượng hồ sơ: </w:t>
            </w:r>
            <w:r w:rsidRPr="00A05E43">
              <w:rPr>
                <w:sz w:val="26"/>
                <w:szCs w:val="26"/>
              </w:rPr>
              <w:t>01 bộ.</w:t>
            </w:r>
          </w:p>
          <w:p w:rsidR="008840B9" w:rsidRPr="00A05E43" w:rsidRDefault="008840B9" w:rsidP="00041232">
            <w:pPr>
              <w:shd w:val="clear" w:color="auto" w:fill="FFFFFF"/>
              <w:jc w:val="both"/>
              <w:rPr>
                <w:i/>
                <w:sz w:val="26"/>
                <w:szCs w:val="26"/>
              </w:rPr>
            </w:pPr>
            <w:r w:rsidRPr="00A05E43">
              <w:rPr>
                <w:iCs/>
                <w:sz w:val="26"/>
                <w:szCs w:val="26"/>
                <w:shd w:val="clear" w:color="auto" w:fill="FFFFFF"/>
              </w:rPr>
              <w:sym w:font="Wingdings" w:char="F0A8"/>
            </w:r>
            <w:r w:rsidRPr="00A05E43">
              <w:rPr>
                <w:sz w:val="26"/>
                <w:szCs w:val="26"/>
                <w:lang w:val="hr-HR"/>
              </w:rPr>
              <w:t xml:space="preserve"> Không quy định: Tích chọn trong trường hợp không có quy định.</w:t>
            </w:r>
          </w:p>
        </w:tc>
      </w:tr>
      <w:tr w:rsidR="008840B9" w:rsidRPr="00F01304" w:rsidTr="00041232">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rPr>
                <w:sz w:val="26"/>
                <w:szCs w:val="26"/>
                <w:lang w:val="hr-HR"/>
              </w:rPr>
            </w:pPr>
          </w:p>
        </w:tc>
        <w:tc>
          <w:tcPr>
            <w:tcW w:w="1956"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jc w:val="both"/>
              <w:rPr>
                <w:sz w:val="26"/>
                <w:szCs w:val="26"/>
              </w:rPr>
            </w:pPr>
            <w:r w:rsidRPr="00F01304">
              <w:rPr>
                <w:sz w:val="26"/>
                <w:szCs w:val="26"/>
              </w:rPr>
              <w:t>Thời hạn giải quyết</w:t>
            </w:r>
          </w:p>
        </w:tc>
        <w:tc>
          <w:tcPr>
            <w:tcW w:w="7512" w:type="dxa"/>
            <w:tcBorders>
              <w:top w:val="single" w:sz="4" w:space="0" w:color="auto"/>
              <w:left w:val="single" w:sz="4" w:space="0" w:color="auto"/>
              <w:bottom w:val="single" w:sz="4" w:space="0" w:color="auto"/>
              <w:right w:val="single" w:sz="4" w:space="0" w:color="auto"/>
            </w:tcBorders>
            <w:vAlign w:val="center"/>
          </w:tcPr>
          <w:p w:rsidR="008840B9" w:rsidRPr="00A05E43" w:rsidRDefault="008840B9" w:rsidP="00041232">
            <w:pPr>
              <w:jc w:val="both"/>
              <w:rPr>
                <w:i/>
                <w:sz w:val="26"/>
                <w:szCs w:val="26"/>
                <w:lang w:val="hr-HR"/>
              </w:rPr>
            </w:pPr>
            <w:r w:rsidRPr="00A05E43">
              <w:rPr>
                <w:iCs/>
                <w:sz w:val="26"/>
                <w:szCs w:val="26"/>
                <w:shd w:val="clear" w:color="auto" w:fill="FFFFFF"/>
              </w:rPr>
              <w:sym w:font="Wingdings 2" w:char="F052"/>
            </w:r>
            <w:r w:rsidRPr="00A05E43">
              <w:rPr>
                <w:spacing w:val="-2"/>
                <w:sz w:val="26"/>
                <w:szCs w:val="26"/>
                <w:lang w:val="it-IT"/>
              </w:rPr>
              <w:t>Chưa quy định.</w:t>
            </w:r>
          </w:p>
        </w:tc>
      </w:tr>
      <w:tr w:rsidR="008840B9" w:rsidRPr="00F01304" w:rsidTr="00041232">
        <w:trPr>
          <w:trHeight w:val="446"/>
        </w:trPr>
        <w:tc>
          <w:tcPr>
            <w:tcW w:w="710" w:type="dxa"/>
            <w:tcBorders>
              <w:top w:val="single" w:sz="4" w:space="0" w:color="auto"/>
              <w:left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jc w:val="center"/>
              <w:rPr>
                <w:sz w:val="26"/>
                <w:szCs w:val="26"/>
                <w:lang w:val="hr-HR"/>
              </w:rPr>
            </w:pPr>
          </w:p>
        </w:tc>
        <w:tc>
          <w:tcPr>
            <w:tcW w:w="1956" w:type="dxa"/>
            <w:tcBorders>
              <w:top w:val="single" w:sz="4" w:space="0" w:color="auto"/>
              <w:left w:val="single" w:sz="4" w:space="0" w:color="auto"/>
              <w:right w:val="single" w:sz="4" w:space="0" w:color="auto"/>
            </w:tcBorders>
            <w:shd w:val="pct10" w:color="auto" w:fill="auto"/>
            <w:vAlign w:val="center"/>
          </w:tcPr>
          <w:p w:rsidR="008840B9" w:rsidRPr="00F01304" w:rsidRDefault="008840B9" w:rsidP="00041232">
            <w:pPr>
              <w:jc w:val="both"/>
              <w:rPr>
                <w:sz w:val="26"/>
                <w:szCs w:val="26"/>
              </w:rPr>
            </w:pPr>
            <w:r w:rsidRPr="00F01304">
              <w:rPr>
                <w:sz w:val="26"/>
                <w:szCs w:val="26"/>
              </w:rPr>
              <w:t>Đối tượng thực hiện</w:t>
            </w:r>
          </w:p>
        </w:tc>
        <w:tc>
          <w:tcPr>
            <w:tcW w:w="7512" w:type="dxa"/>
            <w:tcBorders>
              <w:top w:val="single" w:sz="4" w:space="0" w:color="auto"/>
              <w:left w:val="single" w:sz="4" w:space="0" w:color="auto"/>
              <w:bottom w:val="single" w:sz="4" w:space="0" w:color="auto"/>
              <w:right w:val="single" w:sz="4" w:space="0" w:color="auto"/>
            </w:tcBorders>
            <w:vAlign w:val="center"/>
          </w:tcPr>
          <w:p w:rsidR="008840B9" w:rsidRPr="00A05E43" w:rsidRDefault="008840B9" w:rsidP="00041232">
            <w:pPr>
              <w:jc w:val="both"/>
              <w:rPr>
                <w:i/>
                <w:sz w:val="26"/>
                <w:szCs w:val="26"/>
              </w:rPr>
            </w:pPr>
            <w:r>
              <w:rPr>
                <w:iCs/>
                <w:sz w:val="26"/>
                <w:szCs w:val="26"/>
              </w:rPr>
              <w:t>S</w:t>
            </w:r>
            <w:r w:rsidRPr="005C7F0B">
              <w:rPr>
                <w:iCs/>
                <w:sz w:val="26"/>
                <w:szCs w:val="26"/>
              </w:rPr>
              <w:t>ở</w:t>
            </w:r>
            <w:r>
              <w:rPr>
                <w:iCs/>
                <w:sz w:val="26"/>
                <w:szCs w:val="26"/>
              </w:rPr>
              <w:t xml:space="preserve"> Giao th</w:t>
            </w:r>
            <w:r w:rsidRPr="005C7F0B">
              <w:rPr>
                <w:iCs/>
                <w:sz w:val="26"/>
                <w:szCs w:val="26"/>
              </w:rPr>
              <w:t>ô</w:t>
            </w:r>
            <w:r>
              <w:rPr>
                <w:iCs/>
                <w:sz w:val="26"/>
                <w:szCs w:val="26"/>
              </w:rPr>
              <w:t>ng v</w:t>
            </w:r>
            <w:r w:rsidRPr="005C7F0B">
              <w:rPr>
                <w:iCs/>
                <w:sz w:val="26"/>
                <w:szCs w:val="26"/>
              </w:rPr>
              <w:t>ận</w:t>
            </w:r>
            <w:r>
              <w:rPr>
                <w:iCs/>
                <w:sz w:val="26"/>
                <w:szCs w:val="26"/>
              </w:rPr>
              <w:t xml:space="preserve"> t</w:t>
            </w:r>
            <w:r w:rsidRPr="005C7F0B">
              <w:rPr>
                <w:iCs/>
                <w:sz w:val="26"/>
                <w:szCs w:val="26"/>
              </w:rPr>
              <w:t>ải</w:t>
            </w:r>
            <w:r>
              <w:rPr>
                <w:iCs/>
                <w:sz w:val="26"/>
                <w:szCs w:val="26"/>
              </w:rPr>
              <w:t xml:space="preserve"> Nam </w:t>
            </w:r>
            <w:r w:rsidRPr="005C7F0B">
              <w:rPr>
                <w:iCs/>
                <w:sz w:val="26"/>
                <w:szCs w:val="26"/>
              </w:rPr>
              <w:t>Định</w:t>
            </w:r>
          </w:p>
        </w:tc>
      </w:tr>
      <w:tr w:rsidR="008840B9" w:rsidRPr="00F01304" w:rsidTr="00041232">
        <w:trPr>
          <w:trHeight w:val="446"/>
        </w:trPr>
        <w:tc>
          <w:tcPr>
            <w:tcW w:w="710" w:type="dxa"/>
            <w:vMerge w:val="restart"/>
            <w:tcBorders>
              <w:top w:val="single" w:sz="4" w:space="0" w:color="auto"/>
              <w:left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jc w:val="center"/>
              <w:rPr>
                <w:sz w:val="26"/>
                <w:szCs w:val="26"/>
                <w:lang w:val="hr-HR"/>
              </w:rPr>
            </w:pPr>
          </w:p>
        </w:tc>
        <w:tc>
          <w:tcPr>
            <w:tcW w:w="1956" w:type="dxa"/>
            <w:vMerge w:val="restart"/>
            <w:tcBorders>
              <w:top w:val="single" w:sz="4" w:space="0" w:color="auto"/>
              <w:left w:val="single" w:sz="4" w:space="0" w:color="auto"/>
              <w:right w:val="single" w:sz="4" w:space="0" w:color="auto"/>
            </w:tcBorders>
            <w:shd w:val="pct10" w:color="auto" w:fill="auto"/>
            <w:vAlign w:val="center"/>
          </w:tcPr>
          <w:p w:rsidR="008840B9" w:rsidRPr="00F01304" w:rsidRDefault="008840B9" w:rsidP="00041232">
            <w:pPr>
              <w:jc w:val="center"/>
              <w:rPr>
                <w:sz w:val="26"/>
                <w:szCs w:val="26"/>
                <w:lang w:val="hr-HR"/>
              </w:rPr>
            </w:pPr>
            <w:r w:rsidRPr="00F01304">
              <w:rPr>
                <w:sz w:val="26"/>
                <w:szCs w:val="26"/>
                <w:lang w:val="hr-HR"/>
              </w:rPr>
              <w:t>Cơ quan giải quyết</w:t>
            </w:r>
          </w:p>
          <w:p w:rsidR="008840B9" w:rsidRPr="00F01304" w:rsidRDefault="008840B9" w:rsidP="00041232">
            <w:pPr>
              <w:jc w:val="both"/>
              <w:rPr>
                <w:sz w:val="26"/>
                <w:szCs w:val="26"/>
                <w:lang w:val="hr-HR"/>
              </w:rPr>
            </w:pPr>
          </w:p>
        </w:tc>
        <w:tc>
          <w:tcPr>
            <w:tcW w:w="7512" w:type="dxa"/>
            <w:tcBorders>
              <w:top w:val="single" w:sz="4" w:space="0" w:color="auto"/>
              <w:left w:val="single" w:sz="4" w:space="0" w:color="auto"/>
              <w:bottom w:val="single" w:sz="4" w:space="0" w:color="auto"/>
              <w:right w:val="single" w:sz="4" w:space="0" w:color="auto"/>
            </w:tcBorders>
            <w:vAlign w:val="center"/>
          </w:tcPr>
          <w:p w:rsidR="008840B9" w:rsidRPr="00A05E43" w:rsidRDefault="008840B9" w:rsidP="00041232">
            <w:pPr>
              <w:jc w:val="both"/>
              <w:rPr>
                <w:sz w:val="26"/>
                <w:szCs w:val="26"/>
                <w:lang w:val="hr-HR"/>
              </w:rPr>
            </w:pPr>
            <w:r w:rsidRPr="00A05E43">
              <w:rPr>
                <w:sz w:val="26"/>
                <w:szCs w:val="26"/>
                <w:lang w:val="hr-HR"/>
              </w:rPr>
              <w:t xml:space="preserve">- Cơ quan có thẩm quyền quyết định: </w:t>
            </w:r>
          </w:p>
          <w:p w:rsidR="008840B9" w:rsidRPr="00A05E43" w:rsidRDefault="008840B9" w:rsidP="00041232">
            <w:pPr>
              <w:jc w:val="both"/>
              <w:rPr>
                <w:sz w:val="26"/>
                <w:szCs w:val="26"/>
                <w:lang w:val="hr-HR"/>
              </w:rPr>
            </w:pPr>
            <w:r w:rsidRPr="00A05E43">
              <w:rPr>
                <w:iCs/>
                <w:sz w:val="26"/>
                <w:szCs w:val="26"/>
                <w:shd w:val="clear" w:color="auto" w:fill="FFFFFF"/>
              </w:rPr>
              <w:sym w:font="Wingdings 2" w:char="F052"/>
            </w:r>
            <w:r w:rsidRPr="00A05E43">
              <w:rPr>
                <w:sz w:val="26"/>
                <w:szCs w:val="26"/>
                <w:lang w:val="hr-HR"/>
              </w:rPr>
              <w:t xml:space="preserve"> Có quy định: </w:t>
            </w:r>
          </w:p>
          <w:p w:rsidR="008840B9" w:rsidRPr="00A05E43" w:rsidRDefault="008840B9" w:rsidP="00041232">
            <w:pPr>
              <w:jc w:val="both"/>
              <w:rPr>
                <w:sz w:val="26"/>
                <w:szCs w:val="26"/>
                <w:lang w:val="hr-HR"/>
              </w:rPr>
            </w:pPr>
            <w:r w:rsidRPr="00A05E43">
              <w:rPr>
                <w:sz w:val="26"/>
                <w:szCs w:val="26"/>
                <w:lang w:val="hr-HR"/>
              </w:rPr>
              <w:t>Ủy ban nhân dân tỉnh</w:t>
            </w:r>
            <w:r>
              <w:rPr>
                <w:sz w:val="26"/>
                <w:szCs w:val="26"/>
                <w:lang w:val="hr-HR"/>
              </w:rPr>
              <w:t xml:space="preserve"> Nam </w:t>
            </w:r>
            <w:r w:rsidRPr="005C7F0B">
              <w:rPr>
                <w:sz w:val="26"/>
                <w:szCs w:val="26"/>
                <w:lang w:val="hr-HR"/>
              </w:rPr>
              <w:t>Định</w:t>
            </w:r>
          </w:p>
          <w:p w:rsidR="008840B9" w:rsidRPr="00A05E43" w:rsidRDefault="008840B9" w:rsidP="00041232">
            <w:pPr>
              <w:jc w:val="both"/>
              <w:rPr>
                <w:i/>
                <w:sz w:val="26"/>
                <w:szCs w:val="26"/>
                <w:lang w:val="hr-HR"/>
              </w:rPr>
            </w:pPr>
            <w:r w:rsidRPr="00A05E43">
              <w:rPr>
                <w:iCs/>
                <w:sz w:val="26"/>
                <w:szCs w:val="26"/>
                <w:shd w:val="clear" w:color="auto" w:fill="FFFFFF"/>
              </w:rPr>
              <w:sym w:font="Wingdings" w:char="F0A8"/>
            </w:r>
            <w:r w:rsidRPr="00A05E43">
              <w:rPr>
                <w:sz w:val="26"/>
                <w:szCs w:val="26"/>
                <w:lang w:val="hr-HR"/>
              </w:rPr>
              <w:t>Không quy định: Tích chọn trong trường hợp không có quy định.</w:t>
            </w:r>
          </w:p>
        </w:tc>
      </w:tr>
      <w:tr w:rsidR="008840B9" w:rsidRPr="00F01304" w:rsidTr="00041232">
        <w:trPr>
          <w:trHeight w:val="446"/>
        </w:trPr>
        <w:tc>
          <w:tcPr>
            <w:tcW w:w="710" w:type="dxa"/>
            <w:vMerge/>
            <w:tcBorders>
              <w:left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jc w:val="center"/>
              <w:rPr>
                <w:sz w:val="26"/>
                <w:szCs w:val="26"/>
                <w:lang w:val="hr-HR"/>
              </w:rPr>
            </w:pPr>
          </w:p>
        </w:tc>
        <w:tc>
          <w:tcPr>
            <w:tcW w:w="1956" w:type="dxa"/>
            <w:vMerge/>
            <w:tcBorders>
              <w:left w:val="single" w:sz="4" w:space="0" w:color="auto"/>
              <w:right w:val="single" w:sz="4" w:space="0" w:color="auto"/>
            </w:tcBorders>
            <w:shd w:val="pct10" w:color="auto" w:fill="auto"/>
            <w:vAlign w:val="center"/>
          </w:tcPr>
          <w:p w:rsidR="008840B9" w:rsidRPr="00F01304" w:rsidRDefault="008840B9" w:rsidP="00041232">
            <w:pPr>
              <w:jc w:val="both"/>
              <w:rPr>
                <w:sz w:val="26"/>
                <w:szCs w:val="26"/>
                <w:lang w:val="hr-HR"/>
              </w:rPr>
            </w:pPr>
          </w:p>
        </w:tc>
        <w:tc>
          <w:tcPr>
            <w:tcW w:w="7512" w:type="dxa"/>
            <w:tcBorders>
              <w:top w:val="single" w:sz="4" w:space="0" w:color="auto"/>
              <w:left w:val="single" w:sz="4" w:space="0" w:color="auto"/>
              <w:bottom w:val="single" w:sz="4" w:space="0" w:color="auto"/>
              <w:right w:val="single" w:sz="4" w:space="0" w:color="auto"/>
            </w:tcBorders>
            <w:vAlign w:val="center"/>
          </w:tcPr>
          <w:p w:rsidR="008840B9" w:rsidRPr="00A05E43" w:rsidRDefault="008840B9" w:rsidP="00041232">
            <w:pPr>
              <w:jc w:val="both"/>
              <w:rPr>
                <w:sz w:val="26"/>
                <w:szCs w:val="26"/>
                <w:lang w:val="hr-HR"/>
              </w:rPr>
            </w:pPr>
            <w:r w:rsidRPr="00A05E43">
              <w:rPr>
                <w:sz w:val="26"/>
                <w:szCs w:val="26"/>
                <w:lang w:val="hr-HR"/>
              </w:rPr>
              <w:t xml:space="preserve">- Cơ quan trực tiếp thực hiện TTHC: </w:t>
            </w:r>
          </w:p>
          <w:p w:rsidR="008840B9" w:rsidRPr="00A05E43" w:rsidRDefault="008840B9" w:rsidP="00041232">
            <w:pPr>
              <w:jc w:val="both"/>
              <w:rPr>
                <w:sz w:val="26"/>
                <w:szCs w:val="26"/>
                <w:lang w:val="hr-HR"/>
              </w:rPr>
            </w:pPr>
            <w:r w:rsidRPr="00A05E43">
              <w:rPr>
                <w:iCs/>
                <w:sz w:val="26"/>
                <w:szCs w:val="26"/>
                <w:shd w:val="clear" w:color="auto" w:fill="FFFFFF"/>
              </w:rPr>
              <w:sym w:font="Wingdings 2" w:char="F052"/>
            </w:r>
            <w:r w:rsidRPr="00A05E43">
              <w:rPr>
                <w:sz w:val="26"/>
                <w:szCs w:val="26"/>
                <w:lang w:val="hr-HR"/>
              </w:rPr>
              <w:t xml:space="preserve"> Có quy định: </w:t>
            </w:r>
            <w:r w:rsidRPr="00A05E43">
              <w:rPr>
                <w:spacing w:val="-4"/>
                <w:sz w:val="26"/>
                <w:szCs w:val="26"/>
                <w:lang w:val="nl-NL"/>
              </w:rPr>
              <w:t>Sở Giao thông vận tải</w:t>
            </w:r>
            <w:r w:rsidRPr="00A05E43">
              <w:rPr>
                <w:sz w:val="26"/>
                <w:szCs w:val="26"/>
                <w:lang w:val="hr-HR"/>
              </w:rPr>
              <w:t>.</w:t>
            </w:r>
          </w:p>
          <w:p w:rsidR="008840B9" w:rsidRPr="00A05E43" w:rsidRDefault="008840B9" w:rsidP="00041232">
            <w:pPr>
              <w:jc w:val="both"/>
              <w:rPr>
                <w:i/>
                <w:sz w:val="26"/>
                <w:szCs w:val="26"/>
                <w:lang w:val="hr-HR"/>
              </w:rPr>
            </w:pPr>
            <w:r w:rsidRPr="00A05E43">
              <w:rPr>
                <w:iCs/>
                <w:sz w:val="26"/>
                <w:szCs w:val="26"/>
                <w:shd w:val="clear" w:color="auto" w:fill="FFFFFF"/>
              </w:rPr>
              <w:sym w:font="Wingdings" w:char="F0A8"/>
            </w:r>
            <w:r w:rsidRPr="00A05E43">
              <w:rPr>
                <w:sz w:val="26"/>
                <w:szCs w:val="26"/>
                <w:lang w:val="hr-HR"/>
              </w:rPr>
              <w:t>Không quy định: Tích chọn trong trường hợp không có quy định.</w:t>
            </w:r>
          </w:p>
        </w:tc>
      </w:tr>
      <w:tr w:rsidR="008840B9" w:rsidRPr="00F01304" w:rsidTr="00041232">
        <w:trPr>
          <w:trHeight w:val="446"/>
        </w:trPr>
        <w:tc>
          <w:tcPr>
            <w:tcW w:w="710" w:type="dxa"/>
            <w:vMerge/>
            <w:tcBorders>
              <w:left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jc w:val="center"/>
              <w:rPr>
                <w:sz w:val="26"/>
                <w:szCs w:val="26"/>
                <w:lang w:val="hr-HR"/>
              </w:rPr>
            </w:pPr>
          </w:p>
        </w:tc>
        <w:tc>
          <w:tcPr>
            <w:tcW w:w="1956" w:type="dxa"/>
            <w:vMerge/>
            <w:tcBorders>
              <w:left w:val="single" w:sz="4" w:space="0" w:color="auto"/>
              <w:right w:val="single" w:sz="4" w:space="0" w:color="auto"/>
            </w:tcBorders>
            <w:shd w:val="pct10" w:color="auto" w:fill="auto"/>
            <w:vAlign w:val="center"/>
          </w:tcPr>
          <w:p w:rsidR="008840B9" w:rsidRPr="00F01304" w:rsidRDefault="008840B9" w:rsidP="00041232">
            <w:pPr>
              <w:jc w:val="both"/>
              <w:rPr>
                <w:sz w:val="26"/>
                <w:szCs w:val="26"/>
                <w:lang w:val="hr-HR"/>
              </w:rPr>
            </w:pPr>
          </w:p>
        </w:tc>
        <w:tc>
          <w:tcPr>
            <w:tcW w:w="7512" w:type="dxa"/>
            <w:tcBorders>
              <w:top w:val="single" w:sz="4" w:space="0" w:color="auto"/>
              <w:left w:val="single" w:sz="4" w:space="0" w:color="auto"/>
              <w:bottom w:val="single" w:sz="4" w:space="0" w:color="auto"/>
              <w:right w:val="single" w:sz="4" w:space="0" w:color="auto"/>
            </w:tcBorders>
            <w:vAlign w:val="center"/>
          </w:tcPr>
          <w:p w:rsidR="008840B9" w:rsidRPr="00A05E43" w:rsidRDefault="008840B9" w:rsidP="00041232">
            <w:pPr>
              <w:jc w:val="both"/>
              <w:rPr>
                <w:sz w:val="26"/>
                <w:szCs w:val="26"/>
                <w:lang w:val="hr-HR"/>
              </w:rPr>
            </w:pPr>
            <w:r w:rsidRPr="00A05E43">
              <w:rPr>
                <w:sz w:val="26"/>
                <w:szCs w:val="26"/>
                <w:lang w:val="hr-HR"/>
              </w:rPr>
              <w:t xml:space="preserve">- Cơ quan phối hợp thực hiện TTHC: </w:t>
            </w:r>
          </w:p>
          <w:p w:rsidR="008840B9" w:rsidRPr="00A05E43" w:rsidRDefault="008840B9" w:rsidP="00041232">
            <w:pPr>
              <w:spacing w:before="120"/>
              <w:ind w:left="58"/>
              <w:jc w:val="both"/>
              <w:rPr>
                <w:sz w:val="26"/>
                <w:szCs w:val="26"/>
                <w:lang w:val="nl-NL"/>
              </w:rPr>
            </w:pPr>
            <w:r w:rsidRPr="00A05E43">
              <w:rPr>
                <w:iCs/>
                <w:sz w:val="26"/>
                <w:szCs w:val="26"/>
                <w:shd w:val="clear" w:color="auto" w:fill="FFFFFF"/>
              </w:rPr>
              <w:sym w:font="Wingdings 2" w:char="F052"/>
            </w:r>
            <w:r w:rsidRPr="00A05E43">
              <w:rPr>
                <w:sz w:val="26"/>
                <w:szCs w:val="26"/>
                <w:lang w:val="hr-HR"/>
              </w:rPr>
              <w:t xml:space="preserve"> Có quy định: </w:t>
            </w:r>
          </w:p>
          <w:p w:rsidR="008840B9" w:rsidRPr="00A05E43" w:rsidRDefault="008840B9" w:rsidP="00041232">
            <w:pPr>
              <w:spacing w:before="120"/>
              <w:ind w:left="58"/>
              <w:jc w:val="both"/>
              <w:rPr>
                <w:sz w:val="26"/>
                <w:szCs w:val="26"/>
                <w:lang w:val="hr-HR"/>
              </w:rPr>
            </w:pPr>
            <w:r w:rsidRPr="00A05E43">
              <w:rPr>
                <w:sz w:val="26"/>
                <w:szCs w:val="26"/>
                <w:lang w:val="nl-NL"/>
              </w:rPr>
              <w:t>Sở Tài chính</w:t>
            </w:r>
            <w:r>
              <w:rPr>
                <w:sz w:val="26"/>
                <w:szCs w:val="26"/>
                <w:lang w:val="nl-NL"/>
              </w:rPr>
              <w:t>, S</w:t>
            </w:r>
            <w:r w:rsidRPr="005C7F0B">
              <w:rPr>
                <w:sz w:val="26"/>
                <w:szCs w:val="26"/>
                <w:lang w:val="nl-NL"/>
              </w:rPr>
              <w:t>ở</w:t>
            </w:r>
            <w:r>
              <w:rPr>
                <w:sz w:val="26"/>
                <w:szCs w:val="26"/>
                <w:lang w:val="nl-NL"/>
              </w:rPr>
              <w:t xml:space="preserve"> K</w:t>
            </w:r>
            <w:r w:rsidRPr="005C7F0B">
              <w:rPr>
                <w:sz w:val="26"/>
                <w:szCs w:val="26"/>
                <w:lang w:val="nl-NL"/>
              </w:rPr>
              <w:t>ế</w:t>
            </w:r>
            <w:r>
              <w:rPr>
                <w:sz w:val="26"/>
                <w:szCs w:val="26"/>
                <w:lang w:val="nl-NL"/>
              </w:rPr>
              <w:t xml:space="preserve"> ho</w:t>
            </w:r>
            <w:r w:rsidRPr="005C7F0B">
              <w:rPr>
                <w:sz w:val="26"/>
                <w:szCs w:val="26"/>
                <w:lang w:val="nl-NL"/>
              </w:rPr>
              <w:t>ạch</w:t>
            </w:r>
            <w:r>
              <w:rPr>
                <w:sz w:val="26"/>
                <w:szCs w:val="26"/>
                <w:lang w:val="nl-NL"/>
              </w:rPr>
              <w:t>&amp;</w:t>
            </w:r>
            <w:r w:rsidRPr="005C7F0B">
              <w:rPr>
                <w:sz w:val="26"/>
                <w:szCs w:val="26"/>
                <w:lang w:val="nl-NL"/>
              </w:rPr>
              <w:t>Đầu</w:t>
            </w:r>
            <w:r>
              <w:rPr>
                <w:sz w:val="26"/>
                <w:szCs w:val="26"/>
                <w:lang w:val="nl-NL"/>
              </w:rPr>
              <w:t xml:space="preserve"> t</w:t>
            </w:r>
            <w:r w:rsidRPr="005C7F0B">
              <w:rPr>
                <w:sz w:val="26"/>
                <w:szCs w:val="26"/>
                <w:lang w:val="nl-NL"/>
              </w:rPr>
              <w:t>ư</w:t>
            </w:r>
          </w:p>
          <w:p w:rsidR="008840B9" w:rsidRPr="00A05E43" w:rsidRDefault="008840B9" w:rsidP="00041232">
            <w:pPr>
              <w:jc w:val="both"/>
              <w:rPr>
                <w:sz w:val="26"/>
                <w:szCs w:val="26"/>
                <w:lang w:val="hr-HR"/>
              </w:rPr>
            </w:pPr>
            <w:r w:rsidRPr="00A05E43">
              <w:rPr>
                <w:iCs/>
                <w:sz w:val="26"/>
                <w:szCs w:val="26"/>
                <w:shd w:val="clear" w:color="auto" w:fill="FFFFFF"/>
              </w:rPr>
              <w:sym w:font="Wingdings" w:char="F0A8"/>
            </w:r>
            <w:r w:rsidRPr="00A05E43">
              <w:rPr>
                <w:sz w:val="26"/>
                <w:szCs w:val="26"/>
                <w:lang w:val="hr-HR"/>
              </w:rPr>
              <w:t>Không quy định: Tích chọn trong trường hợp không có quy định.</w:t>
            </w:r>
          </w:p>
        </w:tc>
      </w:tr>
      <w:tr w:rsidR="008840B9" w:rsidRPr="00F01304" w:rsidTr="00041232">
        <w:trPr>
          <w:trHeight w:val="446"/>
        </w:trPr>
        <w:tc>
          <w:tcPr>
            <w:tcW w:w="710" w:type="dxa"/>
            <w:tcBorders>
              <w:left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rPr>
                <w:sz w:val="26"/>
                <w:szCs w:val="26"/>
                <w:lang w:val="hr-HR"/>
              </w:rPr>
            </w:pPr>
          </w:p>
        </w:tc>
        <w:tc>
          <w:tcPr>
            <w:tcW w:w="1956" w:type="dxa"/>
            <w:tcBorders>
              <w:left w:val="single" w:sz="4" w:space="0" w:color="auto"/>
              <w:right w:val="single" w:sz="4" w:space="0" w:color="auto"/>
            </w:tcBorders>
            <w:shd w:val="pct10" w:color="auto" w:fill="auto"/>
            <w:vAlign w:val="center"/>
          </w:tcPr>
          <w:p w:rsidR="008840B9" w:rsidRPr="00F01304" w:rsidRDefault="008840B9" w:rsidP="00041232">
            <w:pPr>
              <w:jc w:val="center"/>
              <w:rPr>
                <w:sz w:val="26"/>
                <w:szCs w:val="26"/>
                <w:lang w:val="hr-HR"/>
              </w:rPr>
            </w:pPr>
            <w:r w:rsidRPr="00F01304">
              <w:rPr>
                <w:sz w:val="26"/>
                <w:szCs w:val="26"/>
                <w:lang w:val="hr-HR"/>
              </w:rPr>
              <w:t>Kết quả thực hiện</w:t>
            </w:r>
          </w:p>
          <w:p w:rsidR="008840B9" w:rsidRPr="00F01304" w:rsidRDefault="008840B9" w:rsidP="00041232">
            <w:pPr>
              <w:jc w:val="both"/>
              <w:rPr>
                <w:sz w:val="26"/>
                <w:szCs w:val="26"/>
                <w:lang w:val="hr-HR"/>
              </w:rPr>
            </w:pPr>
          </w:p>
        </w:tc>
        <w:tc>
          <w:tcPr>
            <w:tcW w:w="7512" w:type="dxa"/>
            <w:tcBorders>
              <w:top w:val="single" w:sz="4" w:space="0" w:color="auto"/>
              <w:left w:val="single" w:sz="4" w:space="0" w:color="auto"/>
              <w:bottom w:val="single" w:sz="4" w:space="0" w:color="auto"/>
              <w:right w:val="single" w:sz="4" w:space="0" w:color="auto"/>
            </w:tcBorders>
            <w:vAlign w:val="center"/>
          </w:tcPr>
          <w:p w:rsidR="008840B9" w:rsidRPr="00A05E43" w:rsidRDefault="008840B9" w:rsidP="00041232">
            <w:pPr>
              <w:jc w:val="both"/>
              <w:rPr>
                <w:sz w:val="26"/>
                <w:szCs w:val="26"/>
                <w:lang w:val="sv-SE"/>
              </w:rPr>
            </w:pPr>
            <w:r w:rsidRPr="00A05E43">
              <w:rPr>
                <w:iCs/>
                <w:sz w:val="26"/>
                <w:szCs w:val="26"/>
                <w:shd w:val="clear" w:color="auto" w:fill="FFFFFF"/>
              </w:rPr>
              <w:sym w:font="Wingdings 2" w:char="F052"/>
            </w:r>
            <w:r w:rsidRPr="00A05E43">
              <w:rPr>
                <w:sz w:val="26"/>
                <w:szCs w:val="26"/>
                <w:lang w:val="hr-HR"/>
              </w:rPr>
              <w:t xml:space="preserve"> Có quy định: </w:t>
            </w:r>
          </w:p>
          <w:p w:rsidR="008840B9" w:rsidRPr="00A05E43" w:rsidRDefault="008840B9" w:rsidP="00041232">
            <w:pPr>
              <w:jc w:val="both"/>
              <w:rPr>
                <w:sz w:val="26"/>
                <w:szCs w:val="26"/>
                <w:lang w:val="sv-SE"/>
              </w:rPr>
            </w:pPr>
            <w:r w:rsidRPr="00A05E43">
              <w:rPr>
                <w:sz w:val="26"/>
                <w:szCs w:val="26"/>
              </w:rPr>
              <w:t>Quyết định phê duyệt Kế hoạch bảo trì công trình đường bộ đối với đường tỉnh và các tuyến đường khác do Sở Giao thông vận tải quản lý.</w:t>
            </w:r>
          </w:p>
          <w:p w:rsidR="008840B9" w:rsidRPr="00A05E43" w:rsidRDefault="008840B9" w:rsidP="00041232">
            <w:pPr>
              <w:jc w:val="both"/>
              <w:rPr>
                <w:sz w:val="26"/>
                <w:szCs w:val="26"/>
                <w:lang w:val="hr-HR"/>
              </w:rPr>
            </w:pPr>
            <w:r w:rsidRPr="00A05E43">
              <w:rPr>
                <w:iCs/>
                <w:sz w:val="26"/>
                <w:szCs w:val="26"/>
                <w:shd w:val="clear" w:color="auto" w:fill="FFFFFF"/>
              </w:rPr>
              <w:sym w:font="Wingdings" w:char="F0A8"/>
            </w:r>
            <w:r w:rsidRPr="00A05E43">
              <w:rPr>
                <w:sz w:val="26"/>
                <w:szCs w:val="26"/>
                <w:lang w:val="hr-HR"/>
              </w:rPr>
              <w:t xml:space="preserve"> Không quy định: Tích chọn trong trường hợp không có quy định.</w:t>
            </w:r>
          </w:p>
        </w:tc>
      </w:tr>
      <w:tr w:rsidR="008840B9" w:rsidRPr="00F01304" w:rsidTr="00041232">
        <w:trPr>
          <w:trHeight w:val="587"/>
        </w:trPr>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jc w:val="center"/>
              <w:rPr>
                <w:sz w:val="26"/>
                <w:szCs w:val="26"/>
                <w:lang w:val="hr-HR"/>
              </w:rPr>
            </w:pPr>
          </w:p>
        </w:tc>
        <w:tc>
          <w:tcPr>
            <w:tcW w:w="1956"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jc w:val="center"/>
              <w:rPr>
                <w:sz w:val="26"/>
                <w:szCs w:val="26"/>
                <w:lang w:val="vi-VN"/>
              </w:rPr>
            </w:pPr>
            <w:r w:rsidRPr="00F01304">
              <w:rPr>
                <w:sz w:val="26"/>
                <w:szCs w:val="26"/>
                <w:lang w:val="vi-VN"/>
              </w:rPr>
              <w:t>Phí, lệ phí</w:t>
            </w:r>
          </w:p>
        </w:tc>
        <w:tc>
          <w:tcPr>
            <w:tcW w:w="7512" w:type="dxa"/>
            <w:tcBorders>
              <w:top w:val="single" w:sz="4" w:space="0" w:color="auto"/>
              <w:left w:val="single" w:sz="4" w:space="0" w:color="auto"/>
              <w:bottom w:val="single" w:sz="4" w:space="0" w:color="auto"/>
              <w:right w:val="single" w:sz="4" w:space="0" w:color="auto"/>
            </w:tcBorders>
            <w:vAlign w:val="center"/>
          </w:tcPr>
          <w:p w:rsidR="008840B9" w:rsidRPr="00A05E43" w:rsidRDefault="008840B9" w:rsidP="00041232">
            <w:pPr>
              <w:jc w:val="both"/>
              <w:rPr>
                <w:sz w:val="26"/>
                <w:szCs w:val="26"/>
              </w:rPr>
            </w:pPr>
            <w:r w:rsidRPr="00A05E43">
              <w:rPr>
                <w:iCs/>
                <w:sz w:val="26"/>
                <w:szCs w:val="26"/>
                <w:shd w:val="clear" w:color="auto" w:fill="FFFFFF"/>
              </w:rPr>
              <w:sym w:font="Wingdings" w:char="F0A8"/>
            </w:r>
            <w:r w:rsidRPr="00A05E43">
              <w:rPr>
                <w:sz w:val="26"/>
                <w:szCs w:val="26"/>
              </w:rPr>
              <w:t xml:space="preserve">Có quy định phí/lệ phí: </w:t>
            </w:r>
            <w:r>
              <w:rPr>
                <w:sz w:val="26"/>
                <w:szCs w:val="26"/>
              </w:rPr>
              <w:t>Kh</w:t>
            </w:r>
            <w:r w:rsidRPr="005C7F0B">
              <w:rPr>
                <w:sz w:val="26"/>
                <w:szCs w:val="26"/>
              </w:rPr>
              <w:t>ô</w:t>
            </w:r>
            <w:r>
              <w:rPr>
                <w:sz w:val="26"/>
                <w:szCs w:val="26"/>
              </w:rPr>
              <w:t>ng.</w:t>
            </w:r>
          </w:p>
          <w:p w:rsidR="008840B9" w:rsidRPr="00A05E43" w:rsidRDefault="008840B9" w:rsidP="00041232">
            <w:pPr>
              <w:jc w:val="both"/>
              <w:rPr>
                <w:sz w:val="26"/>
                <w:szCs w:val="26"/>
                <w:lang w:val="hr-HR"/>
              </w:rPr>
            </w:pPr>
            <w:r w:rsidRPr="00A05E43">
              <w:rPr>
                <w:iCs/>
                <w:sz w:val="26"/>
                <w:szCs w:val="26"/>
                <w:shd w:val="clear" w:color="auto" w:fill="FFFFFF"/>
              </w:rPr>
              <w:sym w:font="Wingdings 2" w:char="F052"/>
            </w:r>
            <w:r w:rsidRPr="00A05E43">
              <w:rPr>
                <w:sz w:val="26"/>
                <w:szCs w:val="26"/>
                <w:lang w:val="hr-HR"/>
              </w:rPr>
              <w:t>Không quy định: Tích chọn trong trường hợp không có quy định.</w:t>
            </w:r>
          </w:p>
        </w:tc>
      </w:tr>
      <w:tr w:rsidR="008840B9" w:rsidRPr="00F01304" w:rsidTr="00041232">
        <w:trPr>
          <w:trHeight w:val="784"/>
        </w:trPr>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jc w:val="center"/>
              <w:rPr>
                <w:sz w:val="26"/>
                <w:szCs w:val="26"/>
                <w:lang w:val="hr-HR"/>
              </w:rPr>
            </w:pPr>
          </w:p>
        </w:tc>
        <w:tc>
          <w:tcPr>
            <w:tcW w:w="1956"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jc w:val="center"/>
              <w:rPr>
                <w:sz w:val="26"/>
                <w:szCs w:val="26"/>
                <w:lang w:val="vi-VN"/>
              </w:rPr>
            </w:pPr>
            <w:r w:rsidRPr="00F01304">
              <w:rPr>
                <w:spacing w:val="-6"/>
                <w:sz w:val="26"/>
                <w:szCs w:val="26"/>
              </w:rPr>
              <w:t>Tên mẫu đơn, mẫu t</w:t>
            </w:r>
            <w:r w:rsidRPr="00F01304">
              <w:rPr>
                <w:spacing w:val="-6"/>
                <w:sz w:val="26"/>
                <w:szCs w:val="26"/>
                <w:lang w:val="vi-VN"/>
              </w:rPr>
              <w:t>ờ</w:t>
            </w:r>
            <w:r w:rsidRPr="00F01304">
              <w:rPr>
                <w:spacing w:val="-6"/>
                <w:sz w:val="26"/>
                <w:szCs w:val="26"/>
              </w:rPr>
              <w:t xml:space="preserve"> khai</w:t>
            </w:r>
          </w:p>
        </w:tc>
        <w:tc>
          <w:tcPr>
            <w:tcW w:w="7512" w:type="dxa"/>
            <w:tcBorders>
              <w:top w:val="single" w:sz="4" w:space="0" w:color="auto"/>
              <w:left w:val="single" w:sz="4" w:space="0" w:color="auto"/>
              <w:bottom w:val="single" w:sz="4" w:space="0" w:color="auto"/>
              <w:right w:val="single" w:sz="4" w:space="0" w:color="auto"/>
            </w:tcBorders>
            <w:vAlign w:val="center"/>
          </w:tcPr>
          <w:p w:rsidR="008840B9" w:rsidRPr="00A05E43" w:rsidRDefault="008840B9" w:rsidP="00041232">
            <w:pPr>
              <w:jc w:val="both"/>
              <w:rPr>
                <w:sz w:val="26"/>
                <w:szCs w:val="26"/>
              </w:rPr>
            </w:pPr>
            <w:r w:rsidRPr="00A05E43">
              <w:rPr>
                <w:iCs/>
                <w:sz w:val="26"/>
                <w:szCs w:val="26"/>
                <w:shd w:val="clear" w:color="auto" w:fill="FFFFFF"/>
              </w:rPr>
              <w:sym w:font="Wingdings" w:char="F0A8"/>
            </w:r>
            <w:r w:rsidRPr="00A05E43">
              <w:rPr>
                <w:sz w:val="26"/>
                <w:szCs w:val="26"/>
              </w:rPr>
              <w:t xml:space="preserve">Có quy định: Nhập tên Mẫu đơn, tờ khai và đính kèm file mẫu đơn/tờ khai. </w:t>
            </w:r>
          </w:p>
          <w:p w:rsidR="008840B9" w:rsidRPr="00A05E43" w:rsidRDefault="008840B9" w:rsidP="00041232">
            <w:pPr>
              <w:jc w:val="both"/>
              <w:rPr>
                <w:i/>
                <w:sz w:val="26"/>
                <w:szCs w:val="26"/>
              </w:rPr>
            </w:pPr>
            <w:r w:rsidRPr="00A05E43">
              <w:rPr>
                <w:iCs/>
                <w:sz w:val="26"/>
                <w:szCs w:val="26"/>
                <w:shd w:val="clear" w:color="auto" w:fill="FFFFFF"/>
              </w:rPr>
              <w:sym w:font="Wingdings 2" w:char="F052"/>
            </w:r>
            <w:r w:rsidRPr="00A05E43">
              <w:rPr>
                <w:sz w:val="26"/>
                <w:szCs w:val="26"/>
                <w:lang w:val="hr-HR"/>
              </w:rPr>
              <w:t xml:space="preserve"> Không quy định: Tích chọn trong trường hợp không có quy định.</w:t>
            </w:r>
          </w:p>
        </w:tc>
      </w:tr>
      <w:tr w:rsidR="008840B9" w:rsidRPr="00F01304" w:rsidTr="00041232">
        <w:trPr>
          <w:trHeight w:val="784"/>
        </w:trPr>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numPr>
                <w:ilvl w:val="0"/>
                <w:numId w:val="1"/>
              </w:numPr>
              <w:tabs>
                <w:tab w:val="right" w:pos="252"/>
                <w:tab w:val="left" w:pos="648"/>
                <w:tab w:val="left" w:pos="720"/>
              </w:tabs>
              <w:rPr>
                <w:sz w:val="26"/>
                <w:szCs w:val="26"/>
                <w:lang w:val="hr-HR"/>
              </w:rPr>
            </w:pPr>
          </w:p>
        </w:tc>
        <w:tc>
          <w:tcPr>
            <w:tcW w:w="1956" w:type="dxa"/>
            <w:tcBorders>
              <w:top w:val="single" w:sz="4" w:space="0" w:color="auto"/>
              <w:left w:val="single" w:sz="4" w:space="0" w:color="auto"/>
              <w:bottom w:val="single" w:sz="4" w:space="0" w:color="auto"/>
              <w:right w:val="single" w:sz="4" w:space="0" w:color="auto"/>
            </w:tcBorders>
            <w:shd w:val="pct10" w:color="auto" w:fill="auto"/>
            <w:vAlign w:val="center"/>
          </w:tcPr>
          <w:p w:rsidR="008840B9" w:rsidRPr="00F01304" w:rsidRDefault="008840B9" w:rsidP="00041232">
            <w:pPr>
              <w:jc w:val="center"/>
              <w:rPr>
                <w:spacing w:val="-6"/>
                <w:sz w:val="26"/>
                <w:szCs w:val="26"/>
              </w:rPr>
            </w:pPr>
            <w:r w:rsidRPr="00F01304">
              <w:rPr>
                <w:sz w:val="26"/>
                <w:szCs w:val="26"/>
              </w:rPr>
              <w:t>Yêu cầu, điều kiện thực hiện TTHC</w:t>
            </w:r>
          </w:p>
        </w:tc>
        <w:tc>
          <w:tcPr>
            <w:tcW w:w="7512" w:type="dxa"/>
            <w:tcBorders>
              <w:top w:val="single" w:sz="4" w:space="0" w:color="auto"/>
              <w:left w:val="single" w:sz="4" w:space="0" w:color="auto"/>
              <w:bottom w:val="single" w:sz="4" w:space="0" w:color="auto"/>
              <w:right w:val="single" w:sz="4" w:space="0" w:color="auto"/>
            </w:tcBorders>
            <w:vAlign w:val="center"/>
          </w:tcPr>
          <w:p w:rsidR="008840B9" w:rsidRPr="00A05E43" w:rsidRDefault="008840B9" w:rsidP="00041232">
            <w:pPr>
              <w:jc w:val="both"/>
              <w:rPr>
                <w:iCs/>
                <w:sz w:val="26"/>
                <w:szCs w:val="26"/>
                <w:shd w:val="clear" w:color="auto" w:fill="FFFFFF"/>
              </w:rPr>
            </w:pPr>
            <w:r w:rsidRPr="00A05E43">
              <w:rPr>
                <w:iCs/>
                <w:sz w:val="26"/>
                <w:szCs w:val="26"/>
                <w:shd w:val="clear" w:color="auto" w:fill="FFFFFF"/>
              </w:rPr>
              <w:sym w:font="Wingdings" w:char="F0A8"/>
            </w:r>
            <w:r w:rsidRPr="00A05E43">
              <w:rPr>
                <w:sz w:val="26"/>
                <w:szCs w:val="26"/>
                <w:shd w:val="clear" w:color="auto" w:fill="FFFFFF"/>
              </w:rPr>
              <w:t>Có quy định:</w:t>
            </w:r>
            <w:bookmarkStart w:id="1" w:name="dieu_14"/>
            <w:r w:rsidRPr="00A05E43">
              <w:rPr>
                <w:sz w:val="26"/>
                <w:szCs w:val="26"/>
                <w:lang w:val="sv-SE"/>
              </w:rPr>
              <w:tab/>
            </w:r>
            <w:bookmarkEnd w:id="1"/>
          </w:p>
          <w:p w:rsidR="008840B9" w:rsidRPr="00A05E43" w:rsidRDefault="008840B9" w:rsidP="00041232">
            <w:pPr>
              <w:jc w:val="both"/>
              <w:rPr>
                <w:sz w:val="26"/>
                <w:szCs w:val="26"/>
                <w:shd w:val="clear" w:color="auto" w:fill="FFFFFF"/>
              </w:rPr>
            </w:pPr>
            <w:r w:rsidRPr="00A05E43">
              <w:rPr>
                <w:iCs/>
                <w:sz w:val="26"/>
                <w:szCs w:val="26"/>
                <w:shd w:val="clear" w:color="auto" w:fill="FFFFFF"/>
              </w:rPr>
              <w:sym w:font="Wingdings 2" w:char="F052"/>
            </w:r>
            <w:r w:rsidRPr="00A05E43">
              <w:rPr>
                <w:sz w:val="26"/>
                <w:szCs w:val="26"/>
                <w:lang w:val="hr-HR"/>
              </w:rPr>
              <w:t>Không quy định: Tích chọn trong trường hợp không có quy định.</w:t>
            </w:r>
          </w:p>
        </w:tc>
      </w:tr>
    </w:tbl>
    <w:p w:rsidR="008840B9" w:rsidRPr="00F01304" w:rsidRDefault="008840B9" w:rsidP="008840B9">
      <w:pPr>
        <w:spacing w:after="200" w:line="276" w:lineRule="auto"/>
        <w:rPr>
          <w:b/>
          <w:lang w:val="hr-HR"/>
        </w:rPr>
      </w:pPr>
    </w:p>
    <w:p w:rsidR="005056B6" w:rsidRPr="00F01304" w:rsidRDefault="005056B6" w:rsidP="00DA3A20">
      <w:pPr>
        <w:shd w:val="clear" w:color="auto" w:fill="FFFFFF"/>
        <w:spacing w:before="60" w:after="60" w:line="200" w:lineRule="atLeast"/>
        <w:ind w:firstLine="720"/>
        <w:jc w:val="both"/>
      </w:pPr>
    </w:p>
    <w:sectPr w:rsidR="005056B6" w:rsidRPr="00F01304" w:rsidSect="00DA3A20">
      <w:footerReference w:type="even" r:id="rId7"/>
      <w:footerReference w:type="default" r:id="rId8"/>
      <w:pgSz w:w="11907" w:h="16840" w:code="9"/>
      <w:pgMar w:top="1134" w:right="1134" w:bottom="1134" w:left="1701" w:header="720" w:footer="40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84B" w:rsidRDefault="0034284B">
      <w:r>
        <w:separator/>
      </w:r>
    </w:p>
  </w:endnote>
  <w:endnote w:type="continuationSeparator" w:id="1">
    <w:p w:rsidR="0034284B" w:rsidRDefault="00342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48" w:rsidRDefault="005C3C47" w:rsidP="00273199">
    <w:pPr>
      <w:pStyle w:val="Footer"/>
      <w:framePr w:wrap="around" w:vAnchor="text" w:hAnchor="margin" w:xAlign="center" w:y="1"/>
      <w:rPr>
        <w:rStyle w:val="PageNumber"/>
      </w:rPr>
    </w:pPr>
    <w:r>
      <w:rPr>
        <w:rStyle w:val="PageNumber"/>
      </w:rPr>
      <w:fldChar w:fldCharType="begin"/>
    </w:r>
    <w:r w:rsidR="005D7F48">
      <w:rPr>
        <w:rStyle w:val="PageNumber"/>
      </w:rPr>
      <w:instrText xml:space="preserve">PAGE  </w:instrText>
    </w:r>
    <w:r>
      <w:rPr>
        <w:rStyle w:val="PageNumber"/>
      </w:rPr>
      <w:fldChar w:fldCharType="end"/>
    </w:r>
  </w:p>
  <w:p w:rsidR="005D7F48" w:rsidRDefault="005D7F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48" w:rsidRDefault="005D7F48" w:rsidP="00273199">
    <w:pPr>
      <w:pStyle w:val="Footer"/>
      <w:jc w:val="center"/>
    </w:pPr>
  </w:p>
  <w:p w:rsidR="005D7F48" w:rsidRDefault="005D7F48" w:rsidP="0027319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84B" w:rsidRDefault="0034284B">
      <w:r>
        <w:separator/>
      </w:r>
    </w:p>
  </w:footnote>
  <w:footnote w:type="continuationSeparator" w:id="1">
    <w:p w:rsidR="0034284B" w:rsidRDefault="00342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C21"/>
    <w:multiLevelType w:val="hybridMultilevel"/>
    <w:tmpl w:val="27AE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A74C3"/>
    <w:multiLevelType w:val="hybridMultilevel"/>
    <w:tmpl w:val="27AE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55845"/>
    <w:multiLevelType w:val="hybridMultilevel"/>
    <w:tmpl w:val="F8A8D1A8"/>
    <w:lvl w:ilvl="0" w:tplc="52FE625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2AF471C"/>
    <w:multiLevelType w:val="hybridMultilevel"/>
    <w:tmpl w:val="BB540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EA3D3C"/>
    <w:multiLevelType w:val="hybridMultilevel"/>
    <w:tmpl w:val="27AE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E5042"/>
    <w:multiLevelType w:val="hybridMultilevel"/>
    <w:tmpl w:val="2D6C0E4E"/>
    <w:lvl w:ilvl="0" w:tplc="6E2AD9E8">
      <w:start w:val="1"/>
      <w:numFmt w:val="decimal"/>
      <w:lvlText w:val="%1."/>
      <w:lvlJc w:val="left"/>
      <w:pPr>
        <w:ind w:left="643" w:hanging="360"/>
      </w:pPr>
    </w:lvl>
    <w:lvl w:ilvl="1" w:tplc="042A0019">
      <w:start w:val="1"/>
      <w:numFmt w:val="lowerLetter"/>
      <w:lvlText w:val="%2."/>
      <w:lvlJc w:val="left"/>
      <w:pPr>
        <w:ind w:left="1363" w:hanging="360"/>
      </w:pPr>
    </w:lvl>
    <w:lvl w:ilvl="2" w:tplc="042A001B">
      <w:start w:val="1"/>
      <w:numFmt w:val="lowerRoman"/>
      <w:lvlText w:val="%3."/>
      <w:lvlJc w:val="right"/>
      <w:pPr>
        <w:ind w:left="2083" w:hanging="180"/>
      </w:pPr>
    </w:lvl>
    <w:lvl w:ilvl="3" w:tplc="042A000F">
      <w:start w:val="1"/>
      <w:numFmt w:val="decimal"/>
      <w:lvlText w:val="%4."/>
      <w:lvlJc w:val="left"/>
      <w:pPr>
        <w:ind w:left="2803" w:hanging="360"/>
      </w:pPr>
    </w:lvl>
    <w:lvl w:ilvl="4" w:tplc="042A0019">
      <w:start w:val="1"/>
      <w:numFmt w:val="lowerLetter"/>
      <w:lvlText w:val="%5."/>
      <w:lvlJc w:val="left"/>
      <w:pPr>
        <w:ind w:left="3523" w:hanging="360"/>
      </w:pPr>
    </w:lvl>
    <w:lvl w:ilvl="5" w:tplc="042A001B">
      <w:start w:val="1"/>
      <w:numFmt w:val="lowerRoman"/>
      <w:lvlText w:val="%6."/>
      <w:lvlJc w:val="right"/>
      <w:pPr>
        <w:ind w:left="4243" w:hanging="180"/>
      </w:pPr>
    </w:lvl>
    <w:lvl w:ilvl="6" w:tplc="042A000F">
      <w:start w:val="1"/>
      <w:numFmt w:val="decimal"/>
      <w:lvlText w:val="%7."/>
      <w:lvlJc w:val="left"/>
      <w:pPr>
        <w:ind w:left="4963" w:hanging="360"/>
      </w:pPr>
    </w:lvl>
    <w:lvl w:ilvl="7" w:tplc="042A0019">
      <w:start w:val="1"/>
      <w:numFmt w:val="lowerLetter"/>
      <w:lvlText w:val="%8."/>
      <w:lvlJc w:val="left"/>
      <w:pPr>
        <w:ind w:left="5683" w:hanging="360"/>
      </w:pPr>
    </w:lvl>
    <w:lvl w:ilvl="8" w:tplc="042A001B">
      <w:start w:val="1"/>
      <w:numFmt w:val="lowerRoman"/>
      <w:lvlText w:val="%9."/>
      <w:lvlJc w:val="right"/>
      <w:pPr>
        <w:ind w:left="6403" w:hanging="180"/>
      </w:pPr>
    </w:lvl>
  </w:abstractNum>
  <w:abstractNum w:abstractNumId="6">
    <w:nsid w:val="623549E8"/>
    <w:multiLevelType w:val="hybridMultilevel"/>
    <w:tmpl w:val="27AE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94CE2"/>
    <w:multiLevelType w:val="hybridMultilevel"/>
    <w:tmpl w:val="1CFEA090"/>
    <w:lvl w:ilvl="0" w:tplc="C92AE36A">
      <w:start w:val="30"/>
      <w:numFmt w:val="decimal"/>
      <w:lvlText w:val="%1"/>
      <w:lvlJc w:val="left"/>
      <w:pPr>
        <w:ind w:left="435" w:hanging="360"/>
      </w:pPr>
      <w:rPr>
        <w:i w:val="0"/>
      </w:rPr>
    </w:lvl>
    <w:lvl w:ilvl="1" w:tplc="042A0019">
      <w:start w:val="1"/>
      <w:numFmt w:val="lowerLetter"/>
      <w:lvlText w:val="%2."/>
      <w:lvlJc w:val="left"/>
      <w:pPr>
        <w:ind w:left="1155" w:hanging="360"/>
      </w:pPr>
    </w:lvl>
    <w:lvl w:ilvl="2" w:tplc="042A001B">
      <w:start w:val="1"/>
      <w:numFmt w:val="lowerRoman"/>
      <w:lvlText w:val="%3."/>
      <w:lvlJc w:val="right"/>
      <w:pPr>
        <w:ind w:left="1875" w:hanging="180"/>
      </w:pPr>
    </w:lvl>
    <w:lvl w:ilvl="3" w:tplc="042A000F">
      <w:start w:val="1"/>
      <w:numFmt w:val="decimal"/>
      <w:lvlText w:val="%4."/>
      <w:lvlJc w:val="left"/>
      <w:pPr>
        <w:ind w:left="2595" w:hanging="360"/>
      </w:pPr>
    </w:lvl>
    <w:lvl w:ilvl="4" w:tplc="042A0019">
      <w:start w:val="1"/>
      <w:numFmt w:val="lowerLetter"/>
      <w:lvlText w:val="%5."/>
      <w:lvlJc w:val="left"/>
      <w:pPr>
        <w:ind w:left="3315" w:hanging="360"/>
      </w:pPr>
    </w:lvl>
    <w:lvl w:ilvl="5" w:tplc="042A001B">
      <w:start w:val="1"/>
      <w:numFmt w:val="lowerRoman"/>
      <w:lvlText w:val="%6."/>
      <w:lvlJc w:val="right"/>
      <w:pPr>
        <w:ind w:left="4035" w:hanging="180"/>
      </w:pPr>
    </w:lvl>
    <w:lvl w:ilvl="6" w:tplc="042A000F">
      <w:start w:val="1"/>
      <w:numFmt w:val="decimal"/>
      <w:lvlText w:val="%7."/>
      <w:lvlJc w:val="left"/>
      <w:pPr>
        <w:ind w:left="4755" w:hanging="360"/>
      </w:pPr>
    </w:lvl>
    <w:lvl w:ilvl="7" w:tplc="042A0019">
      <w:start w:val="1"/>
      <w:numFmt w:val="lowerLetter"/>
      <w:lvlText w:val="%8."/>
      <w:lvlJc w:val="left"/>
      <w:pPr>
        <w:ind w:left="5475" w:hanging="360"/>
      </w:pPr>
    </w:lvl>
    <w:lvl w:ilvl="8" w:tplc="042A001B">
      <w:start w:val="1"/>
      <w:numFmt w:val="lowerRoman"/>
      <w:lvlText w:val="%9."/>
      <w:lvlJc w:val="right"/>
      <w:pPr>
        <w:ind w:left="6195" w:hanging="180"/>
      </w:pPr>
    </w:lvl>
  </w:abstractNum>
  <w:abstractNum w:abstractNumId="8">
    <w:nsid w:val="70CE4CBB"/>
    <w:multiLevelType w:val="hybridMultilevel"/>
    <w:tmpl w:val="27AE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85755"/>
    <w:multiLevelType w:val="hybridMultilevel"/>
    <w:tmpl w:val="BDB07D88"/>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
  </w:num>
  <w:num w:numId="7">
    <w:abstractNumId w:val="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FELayout/>
  </w:compat>
  <w:rsids>
    <w:rsidRoot w:val="001125D7"/>
    <w:rsid w:val="00020CB0"/>
    <w:rsid w:val="000347E9"/>
    <w:rsid w:val="00044B45"/>
    <w:rsid w:val="000907B6"/>
    <w:rsid w:val="00091BE7"/>
    <w:rsid w:val="000A6A1C"/>
    <w:rsid w:val="000B7F41"/>
    <w:rsid w:val="000C2458"/>
    <w:rsid w:val="000C3A8D"/>
    <w:rsid w:val="000E08B9"/>
    <w:rsid w:val="000E27BA"/>
    <w:rsid w:val="001125D7"/>
    <w:rsid w:val="00136918"/>
    <w:rsid w:val="00181E5A"/>
    <w:rsid w:val="00183538"/>
    <w:rsid w:val="00195BAF"/>
    <w:rsid w:val="001C3E89"/>
    <w:rsid w:val="001D4FE6"/>
    <w:rsid w:val="001D6CE4"/>
    <w:rsid w:val="001F1F09"/>
    <w:rsid w:val="00211683"/>
    <w:rsid w:val="002211A9"/>
    <w:rsid w:val="0025242B"/>
    <w:rsid w:val="00273199"/>
    <w:rsid w:val="002966D9"/>
    <w:rsid w:val="002B2B03"/>
    <w:rsid w:val="002D38DC"/>
    <w:rsid w:val="002D3AD3"/>
    <w:rsid w:val="002D5930"/>
    <w:rsid w:val="002E1BE5"/>
    <w:rsid w:val="002E44D2"/>
    <w:rsid w:val="00300717"/>
    <w:rsid w:val="00301D9B"/>
    <w:rsid w:val="00303F3D"/>
    <w:rsid w:val="00321247"/>
    <w:rsid w:val="00326964"/>
    <w:rsid w:val="00340946"/>
    <w:rsid w:val="0034284B"/>
    <w:rsid w:val="003455A9"/>
    <w:rsid w:val="003705B1"/>
    <w:rsid w:val="00372E1E"/>
    <w:rsid w:val="003846E8"/>
    <w:rsid w:val="00385ADD"/>
    <w:rsid w:val="003A097D"/>
    <w:rsid w:val="003B6C60"/>
    <w:rsid w:val="003C0198"/>
    <w:rsid w:val="003E245C"/>
    <w:rsid w:val="003E3968"/>
    <w:rsid w:val="003F798A"/>
    <w:rsid w:val="004003B0"/>
    <w:rsid w:val="004020AC"/>
    <w:rsid w:val="00403943"/>
    <w:rsid w:val="00414105"/>
    <w:rsid w:val="00432C21"/>
    <w:rsid w:val="00447F3F"/>
    <w:rsid w:val="00454FB9"/>
    <w:rsid w:val="0046022F"/>
    <w:rsid w:val="00466EB6"/>
    <w:rsid w:val="00470218"/>
    <w:rsid w:val="00473559"/>
    <w:rsid w:val="00477173"/>
    <w:rsid w:val="00483FF3"/>
    <w:rsid w:val="0049597F"/>
    <w:rsid w:val="004A66DB"/>
    <w:rsid w:val="004A6AFD"/>
    <w:rsid w:val="004B193F"/>
    <w:rsid w:val="004B2E56"/>
    <w:rsid w:val="004B74AF"/>
    <w:rsid w:val="005056B6"/>
    <w:rsid w:val="005100E9"/>
    <w:rsid w:val="005133F6"/>
    <w:rsid w:val="00517E28"/>
    <w:rsid w:val="005257E6"/>
    <w:rsid w:val="00540995"/>
    <w:rsid w:val="00540BA7"/>
    <w:rsid w:val="00543494"/>
    <w:rsid w:val="00551C32"/>
    <w:rsid w:val="00561124"/>
    <w:rsid w:val="0056292D"/>
    <w:rsid w:val="00582B04"/>
    <w:rsid w:val="00597F8A"/>
    <w:rsid w:val="005A5290"/>
    <w:rsid w:val="005C3C47"/>
    <w:rsid w:val="005D0F0E"/>
    <w:rsid w:val="005D7F48"/>
    <w:rsid w:val="005F332B"/>
    <w:rsid w:val="00625029"/>
    <w:rsid w:val="00637E4C"/>
    <w:rsid w:val="00640748"/>
    <w:rsid w:val="00642C33"/>
    <w:rsid w:val="00660538"/>
    <w:rsid w:val="00690A6C"/>
    <w:rsid w:val="006A0F3B"/>
    <w:rsid w:val="006D378F"/>
    <w:rsid w:val="006D5256"/>
    <w:rsid w:val="006E66F5"/>
    <w:rsid w:val="006F2BDE"/>
    <w:rsid w:val="00715F2C"/>
    <w:rsid w:val="007176A6"/>
    <w:rsid w:val="00725654"/>
    <w:rsid w:val="00726B57"/>
    <w:rsid w:val="00751352"/>
    <w:rsid w:val="00761CE3"/>
    <w:rsid w:val="00774B2A"/>
    <w:rsid w:val="007C6B58"/>
    <w:rsid w:val="007E253C"/>
    <w:rsid w:val="007E3784"/>
    <w:rsid w:val="00814049"/>
    <w:rsid w:val="008149D0"/>
    <w:rsid w:val="008468E7"/>
    <w:rsid w:val="008469E2"/>
    <w:rsid w:val="008575E3"/>
    <w:rsid w:val="00857A6E"/>
    <w:rsid w:val="008769B8"/>
    <w:rsid w:val="008840B9"/>
    <w:rsid w:val="008A4C5D"/>
    <w:rsid w:val="008A7C1B"/>
    <w:rsid w:val="008B0FD5"/>
    <w:rsid w:val="008F4699"/>
    <w:rsid w:val="00905426"/>
    <w:rsid w:val="00931993"/>
    <w:rsid w:val="00957C2A"/>
    <w:rsid w:val="00973C47"/>
    <w:rsid w:val="009A2880"/>
    <w:rsid w:val="009A626E"/>
    <w:rsid w:val="009B4563"/>
    <w:rsid w:val="009C293A"/>
    <w:rsid w:val="009C42A4"/>
    <w:rsid w:val="009D5EF9"/>
    <w:rsid w:val="009E0C10"/>
    <w:rsid w:val="009E6C67"/>
    <w:rsid w:val="00A0568E"/>
    <w:rsid w:val="00A15CB5"/>
    <w:rsid w:val="00A2608B"/>
    <w:rsid w:val="00A300F7"/>
    <w:rsid w:val="00A3452F"/>
    <w:rsid w:val="00A36A94"/>
    <w:rsid w:val="00A37C9C"/>
    <w:rsid w:val="00A53535"/>
    <w:rsid w:val="00A76158"/>
    <w:rsid w:val="00A77E73"/>
    <w:rsid w:val="00A80ABD"/>
    <w:rsid w:val="00A96AD4"/>
    <w:rsid w:val="00AC1FC9"/>
    <w:rsid w:val="00AE3E78"/>
    <w:rsid w:val="00AF2F4B"/>
    <w:rsid w:val="00AF3421"/>
    <w:rsid w:val="00B02DAE"/>
    <w:rsid w:val="00B14962"/>
    <w:rsid w:val="00B14F0B"/>
    <w:rsid w:val="00B20B64"/>
    <w:rsid w:val="00B278DF"/>
    <w:rsid w:val="00B3527F"/>
    <w:rsid w:val="00B95E02"/>
    <w:rsid w:val="00BA23C8"/>
    <w:rsid w:val="00BD7F25"/>
    <w:rsid w:val="00BE5086"/>
    <w:rsid w:val="00BE6411"/>
    <w:rsid w:val="00C03D5C"/>
    <w:rsid w:val="00C05DE7"/>
    <w:rsid w:val="00C26A7A"/>
    <w:rsid w:val="00C33E53"/>
    <w:rsid w:val="00C734EA"/>
    <w:rsid w:val="00C86F73"/>
    <w:rsid w:val="00C91F1D"/>
    <w:rsid w:val="00C934C2"/>
    <w:rsid w:val="00CB16CC"/>
    <w:rsid w:val="00CC7B82"/>
    <w:rsid w:val="00CD12E5"/>
    <w:rsid w:val="00CE5FDD"/>
    <w:rsid w:val="00CE6D2F"/>
    <w:rsid w:val="00CF0E17"/>
    <w:rsid w:val="00CF7EF4"/>
    <w:rsid w:val="00D04B52"/>
    <w:rsid w:val="00D04DE4"/>
    <w:rsid w:val="00D10478"/>
    <w:rsid w:val="00D153D9"/>
    <w:rsid w:val="00D215F8"/>
    <w:rsid w:val="00D432AA"/>
    <w:rsid w:val="00D84777"/>
    <w:rsid w:val="00D91E71"/>
    <w:rsid w:val="00DA3A20"/>
    <w:rsid w:val="00DC1832"/>
    <w:rsid w:val="00DC7BF8"/>
    <w:rsid w:val="00DD4B2A"/>
    <w:rsid w:val="00DF561D"/>
    <w:rsid w:val="00E05389"/>
    <w:rsid w:val="00E143D5"/>
    <w:rsid w:val="00E4574E"/>
    <w:rsid w:val="00E70AE0"/>
    <w:rsid w:val="00E81AFA"/>
    <w:rsid w:val="00E825FD"/>
    <w:rsid w:val="00E9714A"/>
    <w:rsid w:val="00EA492E"/>
    <w:rsid w:val="00EB0A50"/>
    <w:rsid w:val="00EB310C"/>
    <w:rsid w:val="00EB6028"/>
    <w:rsid w:val="00EC726B"/>
    <w:rsid w:val="00ED162A"/>
    <w:rsid w:val="00ED3450"/>
    <w:rsid w:val="00EE004F"/>
    <w:rsid w:val="00EE4203"/>
    <w:rsid w:val="00EE4716"/>
    <w:rsid w:val="00F01304"/>
    <w:rsid w:val="00F241A3"/>
    <w:rsid w:val="00F31368"/>
    <w:rsid w:val="00F36CF6"/>
    <w:rsid w:val="00F760F0"/>
    <w:rsid w:val="00F76EBD"/>
    <w:rsid w:val="00F817A2"/>
    <w:rsid w:val="00FA7C81"/>
    <w:rsid w:val="00FB1CE4"/>
    <w:rsid w:val="00FB6BE2"/>
    <w:rsid w:val="00FC5DB3"/>
    <w:rsid w:val="00FD0AAB"/>
    <w:rsid w:val="00FF3364"/>
    <w:rsid w:val="00FF3FF4"/>
    <w:rsid w:val="00FF4B80"/>
    <w:rsid w:val="00FF5213"/>
    <w:rsid w:val="00FF66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EastAsia" w:hAnsi="Times New Roman Bold" w:cs="Times New Roman"/>
        <w:b/>
        <w:color w:val="262626"/>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D7"/>
    <w:pPr>
      <w:spacing w:after="0" w:line="240" w:lineRule="auto"/>
    </w:pPr>
    <w:rPr>
      <w:rFonts w:ascii="Times New Roman" w:eastAsia="Times New Roman" w:hAnsi="Times New Roman"/>
      <w:b w:val="0"/>
      <w:color w:val="auto"/>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25D7"/>
    <w:pPr>
      <w:tabs>
        <w:tab w:val="center" w:pos="4320"/>
        <w:tab w:val="right" w:pos="8640"/>
      </w:tabs>
    </w:pPr>
    <w:rPr>
      <w:sz w:val="24"/>
    </w:rPr>
  </w:style>
  <w:style w:type="character" w:customStyle="1" w:styleId="FooterChar">
    <w:name w:val="Footer Char"/>
    <w:basedOn w:val="DefaultParagraphFont"/>
    <w:link w:val="Footer"/>
    <w:rsid w:val="001125D7"/>
    <w:rPr>
      <w:rFonts w:ascii="Times New Roman" w:eastAsia="Times New Roman" w:hAnsi="Times New Roman"/>
      <w:b w:val="0"/>
      <w:color w:val="auto"/>
      <w:lang w:eastAsia="en-US"/>
    </w:rPr>
  </w:style>
  <w:style w:type="character" w:styleId="PageNumber">
    <w:name w:val="page number"/>
    <w:basedOn w:val="DefaultParagraphFont"/>
    <w:rsid w:val="001125D7"/>
  </w:style>
  <w:style w:type="paragraph" w:styleId="BodyText">
    <w:name w:val="Body Text"/>
    <w:basedOn w:val="Normal"/>
    <w:link w:val="BodyTextChar"/>
    <w:rsid w:val="001125D7"/>
    <w:pPr>
      <w:jc w:val="center"/>
    </w:pPr>
    <w:rPr>
      <w:rFonts w:ascii=".VnTime" w:hAnsi=".VnTime"/>
      <w:szCs w:val="20"/>
    </w:rPr>
  </w:style>
  <w:style w:type="character" w:customStyle="1" w:styleId="BodyTextChar">
    <w:name w:val="Body Text Char"/>
    <w:basedOn w:val="DefaultParagraphFont"/>
    <w:link w:val="BodyText"/>
    <w:rsid w:val="001125D7"/>
    <w:rPr>
      <w:rFonts w:ascii=".VnTime" w:eastAsia="Times New Roman" w:hAnsi=".VnTime"/>
      <w:b w:val="0"/>
      <w:color w:val="auto"/>
      <w:sz w:val="28"/>
      <w:szCs w:val="20"/>
      <w:lang w:eastAsia="en-US"/>
    </w:rPr>
  </w:style>
  <w:style w:type="paragraph" w:styleId="Header">
    <w:name w:val="header"/>
    <w:basedOn w:val="Normal"/>
    <w:link w:val="HeaderChar"/>
    <w:uiPriority w:val="99"/>
    <w:rsid w:val="001125D7"/>
    <w:pPr>
      <w:tabs>
        <w:tab w:val="center" w:pos="4680"/>
        <w:tab w:val="right" w:pos="9360"/>
      </w:tabs>
    </w:pPr>
  </w:style>
  <w:style w:type="character" w:customStyle="1" w:styleId="HeaderChar">
    <w:name w:val="Header Char"/>
    <w:basedOn w:val="DefaultParagraphFont"/>
    <w:link w:val="Header"/>
    <w:uiPriority w:val="99"/>
    <w:rsid w:val="001125D7"/>
    <w:rPr>
      <w:rFonts w:ascii="Times New Roman" w:eastAsia="Times New Roman" w:hAnsi="Times New Roman"/>
      <w:b w:val="0"/>
      <w:color w:val="auto"/>
      <w:sz w:val="28"/>
      <w:lang w:eastAsia="en-US"/>
    </w:rPr>
  </w:style>
  <w:style w:type="character" w:customStyle="1" w:styleId="Khc">
    <w:name w:val="Khác_"/>
    <w:link w:val="Khc0"/>
    <w:uiPriority w:val="99"/>
    <w:rsid w:val="001125D7"/>
  </w:style>
  <w:style w:type="paragraph" w:customStyle="1" w:styleId="Khc0">
    <w:name w:val="Khác"/>
    <w:basedOn w:val="Normal"/>
    <w:link w:val="Khc"/>
    <w:uiPriority w:val="99"/>
    <w:rsid w:val="001125D7"/>
    <w:pPr>
      <w:widowControl w:val="0"/>
      <w:spacing w:line="302" w:lineRule="auto"/>
      <w:ind w:firstLine="400"/>
    </w:pPr>
    <w:rPr>
      <w:rFonts w:ascii="Times New Roman Bold" w:eastAsiaTheme="minorEastAsia" w:hAnsi="Times New Roman Bold"/>
      <w:b/>
      <w:color w:val="262626"/>
      <w:sz w:val="24"/>
      <w:lang w:eastAsia="zh-CN"/>
    </w:rPr>
  </w:style>
  <w:style w:type="character" w:customStyle="1" w:styleId="Other">
    <w:name w:val="Other_"/>
    <w:link w:val="Other0"/>
    <w:uiPriority w:val="99"/>
    <w:rsid w:val="001125D7"/>
    <w:rPr>
      <w:shd w:val="clear" w:color="auto" w:fill="FFFFFF"/>
    </w:rPr>
  </w:style>
  <w:style w:type="paragraph" w:customStyle="1" w:styleId="Other0">
    <w:name w:val="Other"/>
    <w:basedOn w:val="Normal"/>
    <w:link w:val="Other"/>
    <w:uiPriority w:val="99"/>
    <w:rsid w:val="001125D7"/>
    <w:pPr>
      <w:widowControl w:val="0"/>
      <w:shd w:val="clear" w:color="auto" w:fill="FFFFFF"/>
    </w:pPr>
    <w:rPr>
      <w:rFonts w:ascii="Times New Roman Bold" w:eastAsiaTheme="minorEastAsia" w:hAnsi="Times New Roman Bold"/>
      <w:b/>
      <w:color w:val="262626"/>
      <w:sz w:val="24"/>
      <w:lang w:eastAsia="zh-CN"/>
    </w:rPr>
  </w:style>
  <w:style w:type="paragraph" w:styleId="BalloonText">
    <w:name w:val="Balloon Text"/>
    <w:basedOn w:val="Normal"/>
    <w:link w:val="BalloonTextChar"/>
    <w:uiPriority w:val="99"/>
    <w:semiHidden/>
    <w:unhideWhenUsed/>
    <w:rsid w:val="009D5EF9"/>
    <w:rPr>
      <w:rFonts w:ascii="Tahoma" w:hAnsi="Tahoma" w:cs="Tahoma"/>
      <w:sz w:val="16"/>
      <w:szCs w:val="16"/>
    </w:rPr>
  </w:style>
  <w:style w:type="character" w:customStyle="1" w:styleId="BalloonTextChar">
    <w:name w:val="Balloon Text Char"/>
    <w:basedOn w:val="DefaultParagraphFont"/>
    <w:link w:val="BalloonText"/>
    <w:uiPriority w:val="99"/>
    <w:semiHidden/>
    <w:rsid w:val="009D5EF9"/>
    <w:rPr>
      <w:rFonts w:ascii="Tahoma" w:eastAsia="Times New Roman" w:hAnsi="Tahoma" w:cs="Tahoma"/>
      <w:b w:val="0"/>
      <w:color w:val="auto"/>
      <w:sz w:val="16"/>
      <w:szCs w:val="16"/>
      <w:lang w:eastAsia="en-US"/>
    </w:rPr>
  </w:style>
  <w:style w:type="paragraph" w:styleId="NormalWeb">
    <w:name w:val="Normal (Web)"/>
    <w:basedOn w:val="Normal"/>
    <w:link w:val="NormalWebChar"/>
    <w:uiPriority w:val="99"/>
    <w:unhideWhenUsed/>
    <w:qFormat/>
    <w:rsid w:val="00637E4C"/>
    <w:pPr>
      <w:spacing w:before="100" w:beforeAutospacing="1" w:after="100" w:afterAutospacing="1"/>
    </w:pPr>
    <w:rPr>
      <w:sz w:val="24"/>
    </w:rPr>
  </w:style>
  <w:style w:type="table" w:styleId="TableGrid">
    <w:name w:val="Table Grid"/>
    <w:basedOn w:val="TableNormal"/>
    <w:uiPriority w:val="59"/>
    <w:rsid w:val="002D5930"/>
    <w:pPr>
      <w:spacing w:after="0" w:line="240" w:lineRule="auto"/>
    </w:pPr>
    <w:rPr>
      <w:rFonts w:ascii="Times New Roman" w:hAnsi="Times New Roman" w:cstheme="minorBidi"/>
      <w:b w:val="0"/>
      <w:color w:val="auto"/>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930"/>
    <w:pPr>
      <w:spacing w:after="200" w:line="276" w:lineRule="auto"/>
      <w:ind w:left="720"/>
      <w:contextualSpacing/>
    </w:pPr>
    <w:rPr>
      <w:rFonts w:eastAsiaTheme="minorEastAsia" w:cstheme="minorBidi"/>
      <w:szCs w:val="22"/>
      <w:lang w:eastAsia="zh-CN"/>
    </w:rPr>
  </w:style>
  <w:style w:type="character" w:customStyle="1" w:styleId="NormalWebChar">
    <w:name w:val="Normal (Web) Char"/>
    <w:link w:val="NormalWeb"/>
    <w:uiPriority w:val="99"/>
    <w:rsid w:val="00F241A3"/>
    <w:rPr>
      <w:rFonts w:ascii="Times New Roman" w:eastAsia="Times New Roman" w:hAnsi="Times New Roman"/>
      <w:b w:val="0"/>
      <w:color w:val="auto"/>
      <w:lang w:eastAsia="en-US"/>
    </w:rPr>
  </w:style>
  <w:style w:type="character" w:styleId="Emphasis">
    <w:name w:val="Emphasis"/>
    <w:basedOn w:val="DefaultParagraphFont"/>
    <w:uiPriority w:val="20"/>
    <w:qFormat/>
    <w:rsid w:val="003A097D"/>
    <w:rPr>
      <w:i/>
      <w:iCs/>
    </w:rPr>
  </w:style>
  <w:style w:type="paragraph" w:styleId="NoSpacing">
    <w:name w:val="No Spacing"/>
    <w:uiPriority w:val="1"/>
    <w:qFormat/>
    <w:rsid w:val="00DA3A20"/>
    <w:pPr>
      <w:spacing w:after="0" w:line="240" w:lineRule="auto"/>
    </w:pPr>
    <w:rPr>
      <w:rFonts w:ascii="Times New Roman" w:eastAsia="Times New Roman" w:hAnsi="Times New Roman"/>
      <w:b w:val="0"/>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Bold" w:eastAsiaTheme="minorEastAsia" w:hAnsi="Times New Roman Bold" w:cs="Times New Roman"/>
        <w:b/>
        <w:color w:val="262626"/>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D7"/>
    <w:pPr>
      <w:spacing w:after="0" w:line="240" w:lineRule="auto"/>
    </w:pPr>
    <w:rPr>
      <w:rFonts w:ascii="Times New Roman" w:eastAsia="Times New Roman" w:hAnsi="Times New Roman"/>
      <w:b w:val="0"/>
      <w:color w:val="auto"/>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25D7"/>
    <w:pPr>
      <w:tabs>
        <w:tab w:val="center" w:pos="4320"/>
        <w:tab w:val="right" w:pos="8640"/>
      </w:tabs>
    </w:pPr>
    <w:rPr>
      <w:sz w:val="24"/>
    </w:rPr>
  </w:style>
  <w:style w:type="character" w:customStyle="1" w:styleId="FooterChar">
    <w:name w:val="Footer Char"/>
    <w:basedOn w:val="DefaultParagraphFont"/>
    <w:link w:val="Footer"/>
    <w:rsid w:val="001125D7"/>
    <w:rPr>
      <w:rFonts w:ascii="Times New Roman" w:eastAsia="Times New Roman" w:hAnsi="Times New Roman"/>
      <w:b w:val="0"/>
      <w:color w:val="auto"/>
      <w:lang w:eastAsia="en-US"/>
    </w:rPr>
  </w:style>
  <w:style w:type="character" w:styleId="PageNumber">
    <w:name w:val="page number"/>
    <w:basedOn w:val="DefaultParagraphFont"/>
    <w:rsid w:val="001125D7"/>
  </w:style>
  <w:style w:type="paragraph" w:styleId="BodyText">
    <w:name w:val="Body Text"/>
    <w:basedOn w:val="Normal"/>
    <w:link w:val="BodyTextChar"/>
    <w:rsid w:val="001125D7"/>
    <w:pPr>
      <w:jc w:val="center"/>
    </w:pPr>
    <w:rPr>
      <w:rFonts w:ascii=".VnTime" w:hAnsi=".VnTime"/>
      <w:szCs w:val="20"/>
    </w:rPr>
  </w:style>
  <w:style w:type="character" w:customStyle="1" w:styleId="BodyTextChar">
    <w:name w:val="Body Text Char"/>
    <w:basedOn w:val="DefaultParagraphFont"/>
    <w:link w:val="BodyText"/>
    <w:rsid w:val="001125D7"/>
    <w:rPr>
      <w:rFonts w:ascii=".VnTime" w:eastAsia="Times New Roman" w:hAnsi=".VnTime"/>
      <w:b w:val="0"/>
      <w:color w:val="auto"/>
      <w:sz w:val="28"/>
      <w:szCs w:val="20"/>
      <w:lang w:eastAsia="en-US"/>
    </w:rPr>
  </w:style>
  <w:style w:type="paragraph" w:styleId="Header">
    <w:name w:val="header"/>
    <w:basedOn w:val="Normal"/>
    <w:link w:val="HeaderChar"/>
    <w:uiPriority w:val="99"/>
    <w:rsid w:val="001125D7"/>
    <w:pPr>
      <w:tabs>
        <w:tab w:val="center" w:pos="4680"/>
        <w:tab w:val="right" w:pos="9360"/>
      </w:tabs>
    </w:pPr>
  </w:style>
  <w:style w:type="character" w:customStyle="1" w:styleId="HeaderChar">
    <w:name w:val="Header Char"/>
    <w:basedOn w:val="DefaultParagraphFont"/>
    <w:link w:val="Header"/>
    <w:uiPriority w:val="99"/>
    <w:rsid w:val="001125D7"/>
    <w:rPr>
      <w:rFonts w:ascii="Times New Roman" w:eastAsia="Times New Roman" w:hAnsi="Times New Roman"/>
      <w:b w:val="0"/>
      <w:color w:val="auto"/>
      <w:sz w:val="28"/>
      <w:lang w:eastAsia="en-US"/>
    </w:rPr>
  </w:style>
  <w:style w:type="character" w:customStyle="1" w:styleId="Khc">
    <w:name w:val="Khác_"/>
    <w:link w:val="Khc0"/>
    <w:uiPriority w:val="99"/>
    <w:rsid w:val="001125D7"/>
  </w:style>
  <w:style w:type="paragraph" w:customStyle="1" w:styleId="Khc0">
    <w:name w:val="Khác"/>
    <w:basedOn w:val="Normal"/>
    <w:link w:val="Khc"/>
    <w:uiPriority w:val="99"/>
    <w:rsid w:val="001125D7"/>
    <w:pPr>
      <w:widowControl w:val="0"/>
      <w:spacing w:line="302" w:lineRule="auto"/>
      <w:ind w:firstLine="400"/>
    </w:pPr>
    <w:rPr>
      <w:rFonts w:ascii="Times New Roman Bold" w:eastAsiaTheme="minorEastAsia" w:hAnsi="Times New Roman Bold"/>
      <w:b/>
      <w:color w:val="262626"/>
      <w:sz w:val="24"/>
      <w:lang w:eastAsia="zh-CN"/>
    </w:rPr>
  </w:style>
  <w:style w:type="character" w:customStyle="1" w:styleId="Other">
    <w:name w:val="Other_"/>
    <w:link w:val="Other0"/>
    <w:uiPriority w:val="99"/>
    <w:rsid w:val="001125D7"/>
    <w:rPr>
      <w:shd w:val="clear" w:color="auto" w:fill="FFFFFF"/>
    </w:rPr>
  </w:style>
  <w:style w:type="paragraph" w:customStyle="1" w:styleId="Other0">
    <w:name w:val="Other"/>
    <w:basedOn w:val="Normal"/>
    <w:link w:val="Other"/>
    <w:uiPriority w:val="99"/>
    <w:rsid w:val="001125D7"/>
    <w:pPr>
      <w:widowControl w:val="0"/>
      <w:shd w:val="clear" w:color="auto" w:fill="FFFFFF"/>
    </w:pPr>
    <w:rPr>
      <w:rFonts w:ascii="Times New Roman Bold" w:eastAsiaTheme="minorEastAsia" w:hAnsi="Times New Roman Bold"/>
      <w:b/>
      <w:color w:val="262626"/>
      <w:sz w:val="24"/>
      <w:lang w:eastAsia="zh-CN"/>
    </w:rPr>
  </w:style>
  <w:style w:type="paragraph" w:styleId="BalloonText">
    <w:name w:val="Balloon Text"/>
    <w:basedOn w:val="Normal"/>
    <w:link w:val="BalloonTextChar"/>
    <w:uiPriority w:val="99"/>
    <w:semiHidden/>
    <w:unhideWhenUsed/>
    <w:rsid w:val="009D5EF9"/>
    <w:rPr>
      <w:rFonts w:ascii="Tahoma" w:hAnsi="Tahoma" w:cs="Tahoma"/>
      <w:sz w:val="16"/>
      <w:szCs w:val="16"/>
    </w:rPr>
  </w:style>
  <w:style w:type="character" w:customStyle="1" w:styleId="BalloonTextChar">
    <w:name w:val="Balloon Text Char"/>
    <w:basedOn w:val="DefaultParagraphFont"/>
    <w:link w:val="BalloonText"/>
    <w:uiPriority w:val="99"/>
    <w:semiHidden/>
    <w:rsid w:val="009D5EF9"/>
    <w:rPr>
      <w:rFonts w:ascii="Tahoma" w:eastAsia="Times New Roman" w:hAnsi="Tahoma" w:cs="Tahoma"/>
      <w:b w:val="0"/>
      <w:color w:val="auto"/>
      <w:sz w:val="16"/>
      <w:szCs w:val="16"/>
      <w:lang w:eastAsia="en-US"/>
    </w:rPr>
  </w:style>
  <w:style w:type="paragraph" w:styleId="NormalWeb">
    <w:name w:val="Normal (Web)"/>
    <w:basedOn w:val="Normal"/>
    <w:uiPriority w:val="99"/>
    <w:unhideWhenUsed/>
    <w:rsid w:val="00637E4C"/>
    <w:pPr>
      <w:spacing w:before="100" w:beforeAutospacing="1" w:after="100" w:afterAutospacing="1"/>
    </w:pPr>
    <w:rPr>
      <w:sz w:val="24"/>
    </w:rPr>
  </w:style>
  <w:style w:type="table" w:styleId="TableGrid">
    <w:name w:val="Table Grid"/>
    <w:basedOn w:val="TableNormal"/>
    <w:uiPriority w:val="59"/>
    <w:rsid w:val="002D5930"/>
    <w:pPr>
      <w:spacing w:after="0" w:line="240" w:lineRule="auto"/>
    </w:pPr>
    <w:rPr>
      <w:rFonts w:ascii="Times New Roman" w:hAnsi="Times New Roman" w:cstheme="minorBidi"/>
      <w:b w:val="0"/>
      <w:color w:val="auto"/>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930"/>
    <w:pPr>
      <w:spacing w:after="200" w:line="276" w:lineRule="auto"/>
      <w:ind w:left="720"/>
      <w:contextualSpacing/>
    </w:pPr>
    <w:rPr>
      <w:rFonts w:eastAsiaTheme="minorEastAsia" w:cstheme="minorBidi"/>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vinh_VP</cp:lastModifiedBy>
  <cp:revision>14</cp:revision>
  <cp:lastPrinted>2023-03-23T07:31:00Z</cp:lastPrinted>
  <dcterms:created xsi:type="dcterms:W3CDTF">2023-03-23T06:35:00Z</dcterms:created>
  <dcterms:modified xsi:type="dcterms:W3CDTF">2023-05-18T07:58:00Z</dcterms:modified>
</cp:coreProperties>
</file>