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2.001899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QĐ/3164-TTCP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xử lý đơn tại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Xử lý đơn thư</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Đối với đơn khiếu nại</w:t>
      </w:r>
    </w:p>
    <w:p>
      <w:pPr>
        <w:spacing w:after="0" w:before="0" w:lineRule="auto" w:line="276"/>
        <w:jc w:val="both"/>
      </w:pPr>
      <w:r>
        <w:rPr>
          <w:rFonts w:ascii="Times New Roman" w:hAnsi="Times New Roman" w:cs="Times New Roman" w:eastAsia="Times New Roman"/>
          <w:b w:val="false"/>
          <w:sz w:val="26"/>
        </w:rPr>
        <w:t>	
 Bước 1: Nhận đơn
Tiếp nhận đơn, vào sổ công văn đến (hoặc nhập vào máy tính).</w:t>
      </w:r>
    </w:p>
    <w:p>
      <w:pPr>
        <w:spacing w:after="0" w:before="0" w:lineRule="auto" w:line="276"/>
        <w:jc w:val="both"/>
      </w:pPr>
      <w:r>
        <w:rPr>
          <w:rFonts w:ascii="Times New Roman" w:hAnsi="Times New Roman" w:cs="Times New Roman" w:eastAsia="Times New Roman"/>
          <w:b w:val="false"/>
          <w:sz w:val="26"/>
        </w:rPr>
        <w:t xml:space="preserve"> Bước 2: Phân loại và xử lý đơn
Đơn khiếu nại thuộc thẩm quyền giải quyết
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
 Đơn khiếu nại thuộc thẩm quyền của cấp dưới nhưng quá thời hạn giải quyết theo quy định của Luật khiếu nại mà chưa được giải quyết thì người xử lý đơn báo cáo thủ trưởng cơ quan, tổ chức, đơn vị xem xét, quyết định.
Đơn khiếu nại không thuộc thẩm quyền giải quyết:
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
Đơn khiếu nại do đại biểu Quốc hội, đại biểu Hội đồng nhân dân, Ủy ban 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
Đơn khiếu nại có họ tên, chữ ký của nhiều người:
Đơn khiếu nại có họ tên, chữ ký của nhiều người nhưng không thuộc thẩm quyền giải quyết của cơ quan, tổ chức, đơn vị thì người xử lý đơn hướng dẫn cho một người khiếu nại có họ, tên, địa chỉ rõ ràng gửi đơn đến đúng cơ quan, tổ chức, đơn vị, người có thẩm quyền giải quyết.
Đơn khiếu nại có họ tên, chữ ký của nhiều người thuộc thẩm quyền giải quyết thì người xử lý đơn đề xuất thủ trưởng cơ quan, tổ chức, đơn vị thụ lý để giải quyết theo quy định của pháp luật.
Đơn khiếu nại có kèm theo giấy tờ, tài liệu gốc:
Trường hợp đơn khiếu nại không được thụ lý để giải quyết nhưng có gửi kèm theo giấy tờ, tài liệu gốc thì cơ quan, tổ chức, đơn vị nhận được đơn phải trả lại cho người khiếu nại giấy tờ, tài liệu đó; nếu khiếu nại được thụ lý để giải quyết thì việc trả lại giấy tờ, tài liệu gốc được thực hiện ngay sau khi ban hành quyết định giải quyết khiếu nại.
Đơn khiếu nại đối với quyết định giải quyết khiếu nại đã có hiệu lực pháp luật nhưng có dấu hiệu vi phạm pháp luật:
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định chi tiết một số điều của Luật khiếu nại thì người xử lý đơn phải báo cáo để thủ trưởng cơ quan, tổ chức, đơn vị xem xét, giải quyết theo thẩm quyền hoặc báo cáo cơ quan, tổ chức, đơn vị người có thẩm quyền xem xét, quyết định.
Đơn khiếu nại đối với quyết định hành chính có khả năng gây hậu quả khó khắc phục
Trong trường hợp có căn cứ cho rằng việc thi hành quyết định hành chính sẽ gây ra hậu quả khó khắc phục thì người xử lý đơn phải kịp thời báo cáo để thủ trưởng cơ quan xem xét, quyết định tạm đình chỉ hoặc kiến nghị cơ quan thẩm quyền, người có thẩm quyền tạm đình chỉ việc thi hành quyết định hành chính.</w:t>
      </w:r>
    </w:p>
    <w:p>
      <w:pPr>
        <w:shd w:val="clear" w:color="auto" w:fill="F2F6F9"/>
        <w:spacing w:after="0" w:before="120" w:lineRule="auto" w:line="276"/>
        <w:jc w:val="both"/>
      </w:pPr>
      <w:r>
        <w:rPr>
          <w:rFonts w:ascii="Times New Roman" w:hAnsi="Times New Roman" w:cs="Times New Roman" w:eastAsia="Times New Roman"/>
          <w:b w:val="true"/>
          <w:sz w:val="26"/>
        </w:rPr>
        <w:t>Đối với đơn tố cáo</w:t>
      </w:r>
    </w:p>
    <w:p>
      <w:pPr>
        <w:spacing w:after="0" w:before="0" w:lineRule="auto" w:line="276"/>
        <w:jc w:val="both"/>
      </w:pPr>
      <w:r>
        <w:rPr>
          <w:rFonts w:ascii="Times New Roman" w:hAnsi="Times New Roman" w:cs="Times New Roman" w:eastAsia="Times New Roman"/>
          <w:b w:val="false"/>
          <w:sz w:val="26"/>
        </w:rPr>
        <w:t xml:space="preserve"> Bước 1: Nhận đơn
Tiếp nhận đơn, vào sổ công văn đến (hoặc nhập vào máy tính).</w:t>
      </w:r>
    </w:p>
    <w:p>
      <w:pPr>
        <w:spacing w:after="0" w:before="0" w:lineRule="auto" w:line="276"/>
        <w:jc w:val="both"/>
      </w:pPr>
      <w:r>
        <w:rPr>
          <w:rFonts w:ascii="Times New Roman" w:hAnsi="Times New Roman" w:cs="Times New Roman" w:eastAsia="Times New Roman"/>
          <w:b w:val="false"/>
          <w:sz w:val="26"/>
        </w:rPr>
        <w:t>Bước 2: Phân loại và xử lý đơn
+ Đơn tố cáo thuộc thẩm quyền:
Nếu nội dung đơn tố cáo thuộc thẩm quyền giải quyết của thủ trưởng cơ quan, tổ chức, đơn vị mà không thuộc một trong các trường hợp quy định tại khoản 2 Điều 20 Luật tố cáo thì người xử lý đơn báo cáo thủ trưởng cơ quan, tổ chức, đơn vị để thụ lý giải quyết theo quy định.
+ Đơn tố cáo không thuộc thẩm quyền
 Đơn tố cáo không thuộc thẩm quyền giải quyết thì người xử lý đơn đề xuất với thủ trưởng cơ quan, tổ chức, đơn vị chuyển đơn và các chứng cứ, thông tin, tài liệu kèm theo (nếu có) đến cơ quan, tổ chức, đơn vị có thẩm quyền để được giải quyết theo quy định của pháp luật theo quy định tại điểm b khoản 1 Điều 20 của Luật tố cáo.
 Đơn tố cáo thuộc thẩm quyền giải quyết của cấp dưới trực tiếp nhưng quá thời hạn theo quy định của Luật tố cáo mà chưa được giải quyết thì người xử lý đơn báo cáo để thủ trưởng cơ quan, tổ chức, đơn vị ra văn bản yêu cầu cấp dưới giải quyết.
+ Nếu tố cáo hành vi phạm tội thì chuyển cho cơ quan có thẩm quyền theo quy định của pháp luật tố tụng hình sự.         
+ Đơn tố cáo đối với đảng viên
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
+ Đơn tố cáo hành vi vi phạm pháp luật gây thiệt hại hoặc đe dọa gây thiệt hại nghiêm trọng đến lợi ích nhà nước, cơ quan, tổ chức, quyền và lợi ích hợp pháp của công dân:
Người xử lý đơn phải kịp thời báo cáo, tham mưu, đề xuất để thủ trưởng cơ quan, tổ chức, đơn vị có thẩm quyền áp dụng biện pháp ngăn chặn theo quy định của pháp luật hoặc thông báo cho cơ quan, tổ chức, đơn vị có thẩm quyền áp dụng biện pháp kịp thời ngăn chặn, xử lý theo quy định của pháp luật.
+ Đơn tố cáo xuất phát từ việc khiếu nại không đạt được mục đích
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cơ quan, người có thẩm quyền không thụ lý giải quyết nội dung tố cáo.
+ Xử lý đối với trường hợp tố cáo như quy định tại khoản 2 Điều 20 của Luật tố cáo:
Tố cáo thuộc các trường hợp quy định tại khoản 2 Điều 20 của Luật tố cáo thì cơ quan nhận được đơn không chuyển đơn, không thụ lý để giải quyết đồng thời có văn bản giải thích và trả lại đơn cho người tố cáo.
+ Đơn tố cáo không rõ họ tên, địa chỉ người tố cáo nhưng có nội dung rõ ràng, kèm theo các thông tin, tài liệu, bằng chứng về hành vi tham nhũng, hành vi tội phạm:
Khi nhận được đơn tố cáo không rõ họ tên, địa chỉ người tố cáo nhưng có nội dung rõ ràng, kèm theo các thông tin, tài liệu, bằng chứng chứng minh nội dung tố cáo hành vi tham nhũng, hành vi tội phạm thì người xử lý đơn báo cáo thủ trưởng cơ quan, tổ chức, đơn vị xử lý theo quy định của pháp luật về phòng, chống tham nhũng, pháp luật tố tụng hình sự.</w:t>
      </w:r>
    </w:p>
    <w:p>
      <w:pPr>
        <w:shd w:val="clear" w:color="auto" w:fill="F2F6F9"/>
        <w:spacing w:after="0" w:before="120" w:lineRule="auto" w:line="276"/>
        <w:jc w:val="both"/>
      </w:pPr>
      <w:r>
        <w:rPr>
          <w:rFonts w:ascii="Times New Roman" w:hAnsi="Times New Roman" w:cs="Times New Roman" w:eastAsia="Times New Roman"/>
          <w:b w:val="true"/>
          <w:sz w:val="26"/>
        </w:rPr>
        <w:t>Xử lý các loại đơn khác</w:t>
      </w:r>
    </w:p>
    <w:p>
      <w:pPr>
        <w:spacing w:after="0" w:before="0" w:lineRule="auto" w:line="276"/>
        <w:jc w:val="both"/>
      </w:pPr>
      <w:r>
        <w:rPr>
          <w:rFonts w:ascii="Times New Roman" w:hAnsi="Times New Roman" w:cs="Times New Roman" w:eastAsia="Times New Roman"/>
          <w:b w:val="false"/>
          <w:sz w:val="26"/>
        </w:rPr>
        <w:t>Bước 1: Nhận đơn
Tiếp nhận đơn, vào sổ công văn đến (hoặc nhập vào máy tính).</w:t>
      </w:r>
    </w:p>
    <w:p>
      <w:pPr>
        <w:spacing w:after="0" w:before="0" w:lineRule="auto" w:line="276"/>
        <w:jc w:val="both"/>
      </w:pPr>
      <w:r>
        <w:rPr>
          <w:rFonts w:ascii="Times New Roman" w:hAnsi="Times New Roman" w:cs="Times New Roman" w:eastAsia="Times New Roman"/>
          <w:b w:val="false"/>
          <w:sz w:val="26"/>
        </w:rPr>
        <w:t xml:space="preserve">Bước 2: Phân loại và xử lý đơn
+ Đơn kiến nghị, phản ánh:
 Đơn kiến nghị, phản ánh thuộc thẩm quyền, trách nhiệm của cơ quan, tổ chức, đơn vị giải quyết thì người xử lý đơn đề xuất thủ trưởng cơ quan, tổ chức, đơn vị thụ lý giải quyết.
Đơn kiến nghị, phản ánh không thuộc thẩm quyền giải quyết của cơ quan, tổ chức, đơn vị thì người xử lý đơn đề xuất thủ trưởng cơ quan, tổ chức, đơn vị xem xét, quyết định việc chuyển đơn và các tài liệu kèm theo (nếu có) đến cơ quan, tổ chức, đơn vị, người có thẩm quyền để giải quyết.
 + Đơn có nhiều nội dung khác nhau
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đơn vị có thẩm quyền giải quyết.
+ Đơn thuộc thẩm quyền giải quyết của cơ quan tiến hành tố tụng, thi hành án:
Đơn thuộc thẩm quyền giải quyết của cơ quan tiến hành tố tụng 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
+ Đơn thuộc thẩm quyền giải quyết của cơ quan dân cử:
Người xử lý đơn hướng dẫn gửi đơn hoặc chuyển đơn đến cơ quan có thẩm quyền để được giải quyết theo quy định của pháp luật.
+ Đơn thuộc thẩm quyền giải quyết của tổ chức chính trị, tổ chức chính trị - xã hội, tổ chức chính trị, xã hội - nghề nghiệp, tổ chức xã hội, tổ chức xã hội - nghề nghiệp, tổ chức tôn giáo:
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
+ Đơn thuộc thẩm quyền giải quyết của đơn vị sự nghiệp công lập, doanh nghiệp nhà nước:
Người xử lý đơn trình thủ trưởng cơ quan, tổ chức, đơn vị hướng dẫn người gửi đơn hoặc chuyển đơn đến đơn vị sự nghiệp công lập, doanh nghiệp nhà nước đó để giải quyết theo quy định của pháp luật.
+ Đơn khiếu nại, tố cáo, kiến nghị, phản ánh những vụ việc có tính chất phức tạp
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quyền kịp thời xử lý hoặc đề nghị với các cơ quan, tổ chức, đơn vị có liên quan áp dụng biện pháp xử lý.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10 ngày, kể từ ngày nhận được đơn khiếu nại, tố cáo, kiến nghị, phản ánh.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10 ngày, kể từ ngày nhận được đơn khiếu nại, tố cáo, kiến nghị, phản ánh.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khiếu nại, đơn tố cáo, đơn kiến nghị, đơn phản ánh và các tài liệu, chứng cứ liên quan (nếu có).</w:t>
            </w:r>
          </w:p>
        </w:tc>
        <w:tc>
          <w:p/>
          <w:p>
            <w:pPr>
              <w:spacing w:after="0" w:before="0" w:lineRule="auto" w:line="276"/>
              <w:jc w:val="left"/>
            </w:pPr>
            <w:r>
              <w:rPr>
                <w:rFonts w:ascii="Times New Roman" w:hAnsi="Times New Roman" w:cs="Times New Roman" w:eastAsia="Times New Roman"/>
                <w:b w:val="false"/>
                <w:sz w:val="26"/>
              </w:rPr>
              <w:t>Mẫu Thông tư 02-2016.docx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Chủ tịch ủy ban nhân dân cấp tỉnh, Chánh thanh tra tỉnh, Giám đốc Sở và cấp tương đương, Ban tiếp công dân cấp tỉnh, Bộ phận xử lý đơn thư thuộc Thanh tra tỉnh và các sở</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văn bản hướng dẫn, văn bản chuyển đơn hoặc văn bản thụ lý giải quyết khiếu nại, tố cáo, kiến nghị, phản ánh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03/2011/QH13</w:t>
            </w:r>
          </w:p>
        </w:tc>
        <w:tc>
          <w:p/>
          <w:p>
            <w:pPr>
              <w:spacing w:after="0" w:before="0" w:lineRule="auto" w:line="276"/>
              <w:jc w:val="left"/>
            </w:pPr>
            <w:r>
              <w:rPr>
                <w:rFonts w:ascii="Times New Roman" w:hAnsi="Times New Roman" w:cs="Times New Roman" w:eastAsia="Times New Roman"/>
                <w:b w:val="false"/>
                <w:sz w:val="26"/>
              </w:rPr>
              <w:t>Luật 03/2011/QH13</w:t>
            </w:r>
          </w:p>
        </w:tc>
        <w:tc>
          <w:p/>
          <w:p>
            <w:pPr>
              <w:spacing w:after="0" w:before="0" w:lineRule="auto" w:line="276"/>
              <w:jc w:val="left"/>
            </w:pPr>
            <w:r>
              <w:rPr>
                <w:rFonts w:ascii="Times New Roman" w:hAnsi="Times New Roman" w:cs="Times New Roman" w:eastAsia="Times New Roman"/>
                <w:b w:val="false"/>
                <w:sz w:val="26"/>
              </w:rPr>
              <w:t>11-11-2011</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75/2012/NĐ-CP</w:t>
            </w:r>
          </w:p>
        </w:tc>
        <w:tc>
          <w:p/>
          <w:p>
            <w:pPr>
              <w:spacing w:after="0" w:before="0" w:lineRule="auto" w:line="276"/>
              <w:jc w:val="left"/>
            </w:pPr>
            <w:r>
              <w:rPr>
                <w:rFonts w:ascii="Times New Roman" w:hAnsi="Times New Roman" w:cs="Times New Roman" w:eastAsia="Times New Roman"/>
                <w:b w:val="false"/>
                <w:sz w:val="26"/>
              </w:rPr>
              <w:t>Nghị định 75/2012/NĐ-CP - Quy định chi tiết một số điều của Luật Khiếu nại</w:t>
            </w:r>
          </w:p>
        </w:tc>
        <w:tc>
          <w:p/>
          <w:p>
            <w:pPr>
              <w:spacing w:after="0" w:before="0" w:lineRule="auto" w:line="276"/>
              <w:jc w:val="left"/>
            </w:pPr>
            <w:r>
              <w:rPr>
                <w:rFonts w:ascii="Times New Roman" w:hAnsi="Times New Roman" w:cs="Times New Roman" w:eastAsia="Times New Roman"/>
                <w:b w:val="false"/>
                <w:sz w:val="26"/>
              </w:rPr>
              <w:t>03-10-2012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02/2011/QH13</w:t>
            </w:r>
          </w:p>
        </w:tc>
        <w:tc>
          <w:p/>
          <w:p>
            <w:pPr>
              <w:spacing w:after="0" w:before="0" w:lineRule="auto" w:line="276"/>
              <w:jc w:val="left"/>
            </w:pPr>
            <w:r>
              <w:rPr>
                <w:rFonts w:ascii="Times New Roman" w:hAnsi="Times New Roman" w:cs="Times New Roman" w:eastAsia="Times New Roman"/>
                <w:b w:val="false"/>
                <w:sz w:val="26"/>
              </w:rPr>
              <w:t>Luật 02/2011/QH13 - Luật Khiếu nại</w:t>
            </w:r>
          </w:p>
        </w:tc>
        <w:tc>
          <w:p/>
          <w:p>
            <w:pPr>
              <w:spacing w:after="0" w:before="0" w:lineRule="auto" w:line="276"/>
              <w:jc w:val="left"/>
            </w:pPr>
            <w:r>
              <w:rPr>
                <w:rFonts w:ascii="Times New Roman" w:hAnsi="Times New Roman" w:cs="Times New Roman" w:eastAsia="Times New Roman"/>
                <w:b w:val="false"/>
                <w:sz w:val="26"/>
              </w:rPr>
              <w:t>11-11-2011</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76/2012/NĐ-CP</w:t>
            </w:r>
          </w:p>
        </w:tc>
        <w:tc>
          <w:p/>
          <w:p>
            <w:pPr>
              <w:spacing w:after="0" w:before="0" w:lineRule="auto" w:line="276"/>
              <w:jc w:val="left"/>
            </w:pPr>
            <w:r>
              <w:rPr>
                <w:rFonts w:ascii="Times New Roman" w:hAnsi="Times New Roman" w:cs="Times New Roman" w:eastAsia="Times New Roman"/>
                <w:b w:val="false"/>
                <w:sz w:val="26"/>
              </w:rPr>
              <w:t>Nghị định 76/2012/NĐ-CP - Quy định chi tiết thi hành một số điều của Luật Tố cáo</w:t>
            </w:r>
          </w:p>
        </w:tc>
        <w:tc>
          <w:p/>
          <w:p>
            <w:pPr>
              <w:spacing w:after="0" w:before="0" w:lineRule="auto" w:line="276"/>
              <w:jc w:val="left"/>
            </w:pPr>
            <w:r>
              <w:rPr>
                <w:rFonts w:ascii="Times New Roman" w:hAnsi="Times New Roman" w:cs="Times New Roman" w:eastAsia="Times New Roman"/>
                <w:b w:val="false"/>
                <w:sz w:val="26"/>
              </w:rPr>
              <w:t>03-10-2012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42/2013/QH13</w:t>
            </w:r>
          </w:p>
        </w:tc>
        <w:tc>
          <w:p/>
          <w:p>
            <w:pPr>
              <w:spacing w:after="0" w:before="0" w:lineRule="auto" w:line="276"/>
              <w:jc w:val="left"/>
            </w:pPr>
            <w:r>
              <w:rPr>
                <w:rFonts w:ascii="Times New Roman" w:hAnsi="Times New Roman" w:cs="Times New Roman" w:eastAsia="Times New Roman"/>
                <w:b w:val="false"/>
                <w:sz w:val="26"/>
              </w:rPr>
              <w:t>Luật 42/2013/QH13</w:t>
            </w:r>
          </w:p>
        </w:tc>
        <w:tc>
          <w:p/>
          <w:p>
            <w:pPr>
              <w:spacing w:after="0" w:before="0" w:lineRule="auto" w:line="276"/>
              <w:jc w:val="left"/>
            </w:pPr>
            <w:r>
              <w:rPr>
                <w:rFonts w:ascii="Times New Roman" w:hAnsi="Times New Roman" w:cs="Times New Roman" w:eastAsia="Times New Roman"/>
                <w:b w:val="false"/>
                <w:sz w:val="26"/>
              </w:rPr>
              <w:t>25-11-2013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64/2014/NĐ-CP</w:t>
            </w:r>
          </w:p>
        </w:tc>
        <w:tc>
          <w:p/>
          <w:p>
            <w:pPr>
              <w:spacing w:after="0" w:before="0" w:lineRule="auto" w:line="276"/>
              <w:jc w:val="left"/>
            </w:pPr>
            <w:r>
              <w:rPr>
                <w:rFonts w:ascii="Times New Roman" w:hAnsi="Times New Roman" w:cs="Times New Roman" w:eastAsia="Times New Roman"/>
                <w:b w:val="false"/>
                <w:sz w:val="26"/>
              </w:rPr>
              <w:t>Nghị định 64/2014/NĐ-CP</w:t>
            </w:r>
          </w:p>
        </w:tc>
        <w:tc>
          <w:p/>
          <w:p>
            <w:pPr>
              <w:spacing w:after="0" w:before="0" w:lineRule="auto" w:line="276"/>
              <w:jc w:val="left"/>
            </w:pPr>
            <w:r>
              <w:rPr>
                <w:rFonts w:ascii="Times New Roman" w:hAnsi="Times New Roman" w:cs="Times New Roman" w:eastAsia="Times New Roman"/>
                <w:b w:val="false"/>
                <w:sz w:val="26"/>
              </w:rPr>
              <w:t>26-06-2014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07/2014/TT-TTCP</w:t>
            </w:r>
          </w:p>
        </w:tc>
        <w:tc>
          <w:p/>
          <w:p>
            <w:pPr>
              <w:spacing w:after="0" w:before="0" w:lineRule="auto" w:line="276"/>
              <w:jc w:val="left"/>
            </w:pPr>
            <w:r>
              <w:rPr>
                <w:rFonts w:ascii="Times New Roman" w:hAnsi="Times New Roman" w:cs="Times New Roman" w:eastAsia="Times New Roman"/>
                <w:b w:val="false"/>
                <w:sz w:val="26"/>
              </w:rPr>
              <w:t>Thông tư 07/2014/TT-TTCP</w:t>
            </w:r>
          </w:p>
        </w:tc>
        <w:tc>
          <w:p/>
          <w:p>
            <w:pPr>
              <w:spacing w:after="0" w:before="0" w:lineRule="auto" w:line="276"/>
              <w:jc w:val="left"/>
            </w:pPr>
            <w:r>
              <w:rPr>
                <w:rFonts w:ascii="Times New Roman" w:hAnsi="Times New Roman" w:cs="Times New Roman" w:eastAsia="Times New Roman"/>
                <w:b w:val="false"/>
                <w:sz w:val="26"/>
              </w:rPr>
              <w:t>31-10-2014</w:t>
            </w:r>
          </w:p>
        </w:tc>
        <w:tc>
          <w:p/>
          <w:p>
            <w:pPr>
              <w:spacing w:after="0" w:before="0" w:lineRule="auto" w:line="276"/>
              <w:jc w:val="left"/>
            </w:pPr>
            <w:r>
              <w:rPr>
                <w:rFonts w:ascii="Times New Roman" w:hAnsi="Times New Roman" w:cs="Times New Roman" w:eastAsia="Times New Roman"/>
                <w:b w:val="false"/>
                <w:sz w:val="26"/>
              </w:rPr>
              <w:t>Thanh tra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Theo điểm a, khoản 2, Điều 6, Thông tư 07/2014/TT-TTCP của Thanh tra Chính phủ:
Đơn đủ điều kiện xử lý là đơn đáp ứng các yêu cầu sau đây:
- Đơn dùng chữ viết là tiếng Việt và được người khiếu nại, người tố cáo, người kiến nghị, phản ánh ghi rõ ngày, tháng, năm viết đơn; họ, tên, địa chỉ, chữ ký hoặc điểm chỉ của người viết đơn;
- Đơn khiếu nại phải ghi rõ tên, địa chỉ của cơ quan, tổ chức, đơn vị, cá nhân bị khiếu nại, nội dung, lý do khiếu nại và yêu cầu của người khiếu nại;
- Đơn tố cáo phải ghi rõ nội dung tố cáo; cơ quan, tổ chức, đơn vị, cá nhân bị tố cáo, hành vi vi phạm pháp luật bị tố cáo;
- Đơn kiến nghị, phản ánh phải ghi rõ nội dung kiến nghị, phản ánh;
-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2021-11-11T08:36:02Z</dcterms:created>
  <dc:creator>Apache POI</dc:creator>
</cp:coreProperties>
</file>