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29" w:rsidRPr="00570E51" w:rsidRDefault="00D11729" w:rsidP="00D11729">
      <w:pPr>
        <w:spacing w:before="120" w:after="0"/>
        <w:rPr>
          <w:sz w:val="26"/>
          <w:szCs w:val="26"/>
          <w:lang w:val="en-US"/>
        </w:rPr>
      </w:pPr>
      <w:bookmarkStart w:id="0" w:name="_GoBack"/>
      <w:bookmarkEnd w:id="0"/>
      <w:r w:rsidRPr="00CD5183">
        <w:rPr>
          <w:sz w:val="26"/>
          <w:szCs w:val="26"/>
        </w:rPr>
        <w:t>1.2</w:t>
      </w:r>
      <w:r w:rsidRPr="00961966">
        <w:rPr>
          <w:sz w:val="26"/>
          <w:szCs w:val="26"/>
          <w:lang w:val="vi-VN"/>
        </w:rPr>
        <w:t>.</w:t>
      </w:r>
      <w:r w:rsidRPr="00CD5183">
        <w:rPr>
          <w:sz w:val="26"/>
          <w:szCs w:val="26"/>
        </w:rPr>
        <w:t>Đăng ký dịch</w:t>
      </w:r>
      <w:r w:rsidRPr="00961966">
        <w:rPr>
          <w:sz w:val="26"/>
          <w:szCs w:val="26"/>
          <w:lang w:val="vi-VN"/>
        </w:rPr>
        <w:t xml:space="preserve"> vụ dữ liệu khai thác CSDL về dân cư phục vụ xử lý thủ tục hành chính, cung cấp dịch vụ công trực tuyến</w:t>
      </w:r>
      <w:r w:rsidR="00570E51">
        <w:rPr>
          <w:sz w:val="26"/>
          <w:szCs w:val="26"/>
          <w:lang w:val="en-US"/>
        </w:rPr>
        <w:t xml:space="preserve"> (</w:t>
      </w:r>
      <w:r w:rsidR="00570E51" w:rsidRPr="00570E51">
        <w:rPr>
          <w:i/>
          <w:sz w:val="26"/>
          <w:szCs w:val="26"/>
          <w:lang w:val="en-US"/>
        </w:rPr>
        <w:t>cấp huyện</w:t>
      </w:r>
      <w:r w:rsidR="00570E51">
        <w:rPr>
          <w:sz w:val="26"/>
          <w:szCs w:val="26"/>
          <w:lang w:val="en-US"/>
        </w:rPr>
        <w:t>)</w:t>
      </w:r>
    </w:p>
    <w:p w:rsidR="00D11729" w:rsidRPr="00A878A5" w:rsidRDefault="00D11729" w:rsidP="00D11729">
      <w:pPr>
        <w:spacing w:before="120" w:after="0"/>
        <w:rPr>
          <w:sz w:val="26"/>
          <w:szCs w:val="26"/>
          <w:lang w:val="vi-VN"/>
        </w:rPr>
      </w:pPr>
    </w:p>
    <w:tbl>
      <w:tblPr>
        <w:tblW w:w="1063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557"/>
        <w:gridCol w:w="3685"/>
        <w:gridCol w:w="2126"/>
        <w:gridCol w:w="1276"/>
      </w:tblGrid>
      <w:tr w:rsidR="00D11729" w:rsidRPr="00961966" w:rsidTr="00843E12">
        <w:tc>
          <w:tcPr>
            <w:tcW w:w="993" w:type="dxa"/>
            <w:vAlign w:val="center"/>
          </w:tcPr>
          <w:p w:rsidR="00D11729" w:rsidRPr="00961966" w:rsidRDefault="00D11729" w:rsidP="00843E12">
            <w:pPr>
              <w:spacing w:before="120" w:after="0"/>
              <w:ind w:left="-404" w:firstLine="284"/>
              <w:jc w:val="center"/>
              <w:rPr>
                <w:sz w:val="26"/>
                <w:szCs w:val="26"/>
                <w:lang w:val="en-US"/>
              </w:rPr>
            </w:pPr>
            <w:r w:rsidRPr="00961966">
              <w:rPr>
                <w:sz w:val="26"/>
                <w:szCs w:val="26"/>
                <w:lang w:val="en-US"/>
              </w:rPr>
              <w:t>TT</w:t>
            </w:r>
          </w:p>
        </w:tc>
        <w:tc>
          <w:tcPr>
            <w:tcW w:w="2557" w:type="dxa"/>
            <w:shd w:val="clear" w:color="auto" w:fill="auto"/>
            <w:vAlign w:val="center"/>
          </w:tcPr>
          <w:p w:rsidR="00D11729" w:rsidRPr="00961966" w:rsidRDefault="00D11729" w:rsidP="00843E12">
            <w:pPr>
              <w:spacing w:before="120" w:after="0"/>
              <w:ind w:right="-187"/>
              <w:jc w:val="center"/>
              <w:rPr>
                <w:sz w:val="26"/>
                <w:szCs w:val="26"/>
                <w:lang w:val="en-US"/>
              </w:rPr>
            </w:pPr>
            <w:r w:rsidRPr="00961966">
              <w:rPr>
                <w:sz w:val="26"/>
                <w:szCs w:val="26"/>
                <w:lang w:val="en-US"/>
              </w:rPr>
              <w:t>Mã DVC</w:t>
            </w:r>
            <w:r w:rsidRPr="00961966">
              <w:rPr>
                <w:rStyle w:val="FootnoteReference"/>
                <w:sz w:val="26"/>
                <w:szCs w:val="26"/>
                <w:lang w:val="en-US"/>
              </w:rPr>
              <w:footnoteReference w:id="1"/>
            </w:r>
          </w:p>
        </w:tc>
        <w:tc>
          <w:tcPr>
            <w:tcW w:w="3685" w:type="dxa"/>
            <w:vAlign w:val="center"/>
          </w:tcPr>
          <w:p w:rsidR="00D11729" w:rsidRPr="00961966" w:rsidRDefault="00D11729" w:rsidP="00843E12">
            <w:pPr>
              <w:spacing w:before="120" w:after="0"/>
              <w:ind w:right="-187"/>
              <w:jc w:val="center"/>
              <w:rPr>
                <w:sz w:val="26"/>
                <w:szCs w:val="26"/>
                <w:vertAlign w:val="superscript"/>
                <w:lang w:val="en-US"/>
              </w:rPr>
            </w:pPr>
            <w:r w:rsidRPr="00961966">
              <w:rPr>
                <w:sz w:val="26"/>
                <w:szCs w:val="26"/>
                <w:lang w:val="en-US"/>
              </w:rPr>
              <w:t>Tên</w:t>
            </w:r>
            <w:r w:rsidRPr="00961966">
              <w:rPr>
                <w:sz w:val="26"/>
                <w:szCs w:val="26"/>
                <w:lang w:val="vi-VN"/>
              </w:rPr>
              <w:t xml:space="preserve"> d</w:t>
            </w:r>
            <w:r w:rsidRPr="00961966">
              <w:rPr>
                <w:sz w:val="26"/>
                <w:szCs w:val="26"/>
                <w:lang w:val="en-US"/>
              </w:rPr>
              <w:t>ịch vụ công</w:t>
            </w:r>
          </w:p>
        </w:tc>
        <w:tc>
          <w:tcPr>
            <w:tcW w:w="2126" w:type="dxa"/>
          </w:tcPr>
          <w:p w:rsidR="00D11729" w:rsidRPr="00961966" w:rsidRDefault="00D11729" w:rsidP="00843E12">
            <w:pPr>
              <w:spacing w:before="120" w:after="0"/>
              <w:ind w:right="-187"/>
              <w:jc w:val="center"/>
              <w:rPr>
                <w:sz w:val="26"/>
                <w:szCs w:val="26"/>
                <w:lang w:val="vi-VN"/>
              </w:rPr>
            </w:pPr>
            <w:r w:rsidRPr="00961966">
              <w:rPr>
                <w:sz w:val="26"/>
                <w:szCs w:val="26"/>
                <w:lang w:val="en-US"/>
              </w:rPr>
              <w:t>Cơ</w:t>
            </w:r>
            <w:r w:rsidRPr="00961966">
              <w:rPr>
                <w:sz w:val="26"/>
                <w:szCs w:val="26"/>
                <w:lang w:val="vi-VN"/>
              </w:rPr>
              <w:t xml:space="preserve"> quan thực hiện</w:t>
            </w:r>
          </w:p>
        </w:tc>
        <w:tc>
          <w:tcPr>
            <w:tcW w:w="1276" w:type="dxa"/>
            <w:shd w:val="clear" w:color="auto" w:fill="auto"/>
            <w:vAlign w:val="center"/>
          </w:tcPr>
          <w:p w:rsidR="00D11729" w:rsidRPr="00961966" w:rsidRDefault="00D11729" w:rsidP="00843E12">
            <w:pPr>
              <w:spacing w:before="120" w:after="0"/>
              <w:ind w:right="-187"/>
              <w:jc w:val="center"/>
              <w:rPr>
                <w:sz w:val="26"/>
                <w:szCs w:val="26"/>
                <w:vertAlign w:val="superscript"/>
                <w:lang w:val="vi-VN"/>
              </w:rPr>
            </w:pPr>
            <w:r w:rsidRPr="00CD5183">
              <w:rPr>
                <w:sz w:val="26"/>
                <w:szCs w:val="26"/>
                <w:lang w:val="vi-VN"/>
              </w:rPr>
              <w:t>Dịch vụ chia</w:t>
            </w:r>
            <w:r w:rsidRPr="00961966">
              <w:rPr>
                <w:sz w:val="26"/>
                <w:szCs w:val="26"/>
                <w:lang w:val="vi-VN"/>
              </w:rPr>
              <w:t xml:space="preserve"> sẻ dữ liệu </w:t>
            </w:r>
            <w:r w:rsidRPr="00CD5183">
              <w:rPr>
                <w:sz w:val="26"/>
                <w:szCs w:val="26"/>
                <w:lang w:val="vi-VN"/>
              </w:rPr>
              <w:t>cần sử dụng</w:t>
            </w:r>
            <w:r w:rsidRPr="00961966">
              <w:rPr>
                <w:rStyle w:val="FootnoteReference"/>
                <w:sz w:val="26"/>
                <w:szCs w:val="26"/>
                <w:lang w:val="en-US"/>
              </w:rPr>
              <w:footnoteReference w:id="2"/>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2.001885</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chứng nhận đủ điều kiện hoạt động điểm cung cấp dịch vụ trò chơi điện tử công cộng</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(Văn hóa - Thông tin)</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2.001884</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Sửa đổi, bổ sung Giấy chứng nhận đủ điều kiện hoạt động điểm cung cấp dịch vụ trò chơi điện tử công cộng</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(Văn hóa - Thông tin)</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2.001880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Gia hạn Giấy chứng nhận đủ điều kiện hoạt động điểm cung cấp dịch vụ trò chơi điện tử công cộng</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(Văn hóa - Thông tin)</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2.001786</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lại Giấy chứng nhận đủ điều kiện hoạt động điểm cung cấp dịch vụ trò chơi điện tử công cộng</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(Văn hóa - Thông tin)</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2.001931</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Khai báo hoạt động cơ sở dịch vụ photocopy</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(Văn hóa - Thông tin)</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2.001762</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Thay đổi thông tin khai báo hoạt động cơ sở dịch vụ photocopy</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(Văn hóa - Thông tin)</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2.000633</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phép sản xuất rượu thủ công nhằm mục đích kinh doanh</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2.000629</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sửa đổi, bổ sung Giấy phép sản xuất rượu thủ công nhằm mục đích kinh doanh</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1.001279</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lại Giấy phép sản xuất rượu thủ công nhằm mục đích kinh doanh</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2.000620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phép bán lẻ rượu</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2.000615</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 xml:space="preserve">Cấp sửa đổi, bổ sung Giấy phép bán </w:t>
            </w:r>
            <w:r w:rsidRPr="008C0A4F">
              <w:rPr>
                <w:b w:val="0"/>
                <w:bCs/>
                <w:color w:val="000000"/>
                <w:sz w:val="24"/>
                <w:szCs w:val="24"/>
                <w:lang w:val="vi-VN" w:eastAsia="vi-VN"/>
              </w:rPr>
              <w:lastRenderedPageBreak/>
              <w:t>lẻ rượu</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lastRenderedPageBreak/>
              <w:t xml:space="preserve">UBND huyện (Công </w:t>
            </w:r>
            <w:r w:rsidRPr="008C0A4F">
              <w:rPr>
                <w:b w:val="0"/>
                <w:bCs/>
                <w:color w:val="000000"/>
                <w:sz w:val="24"/>
                <w:szCs w:val="24"/>
                <w:lang w:val="vi-VN" w:eastAsia="vi-VN"/>
              </w:rPr>
              <w:lastRenderedPageBreak/>
              <w:t>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lastRenderedPageBreak/>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2.001240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lại Giấy phép bán lẻ rượu</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2.000181</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phép bán lẻ sản phẩm thuốc lá.</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2.000162</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sửa đổi, bổ sung Giấy phép bán lẻ sản phẩm thuốc lá</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2.000150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lại Giấy phép bán lẻ sản phẩm thuốc lá</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2.001283</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chứng nhận đủ điều kiện cửa hàng bán lẻ LPG chai</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2.001270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lại Giấy chứng nhận đủ điều kiện cửa hàng bán lẻ LPG chai</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2.001261</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điều chỉnh Giấy chứng nhận đủ điều kiện cửa hàng bán lẻ LPG chai</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1.008455</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Cung cấp thông tin về quy hoạch xây dựng thuộc thẩm quyền của UBND cấp huyện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1.006615</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xác nhận kiến thức về an toàn thực phẩm cho chủ cơ sở và người trực tiếp sản xuất, kinh doanh thực phẩm nông, lâm, thủy sản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1.006594</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chứng nhận cơ sở đủ điều kiện an toàn thực phẩm đối với cơ sở sản xuất, kinh doanh thực phẩm nông, lâm, thủy sản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1.006600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lại Giấy chứng nhận cơ sở đủ điều kiện an toàn thực phẩm đối với cơ sở sản xuất, kinh doanh nông, lâm, thủy sản (trường hợp trước 06 tháng tính đến ngày Giấy chứng nhận an toàn thực phẩm hết hạn)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1.006604</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 xml:space="preserve">Cấp lại Giấy chứng nhận cơ sở đủ điều kiện an toàn thực phẩm đối với cơ sở sản xuất, kinh doanh nông, lâm, thủy sản (trường hợp Giấy chứng nhận an toàn thực phẩm vẫn còn thời hạn hiệu lực nhưng bị mất, bị hỏng, thất lạc, hoặc có sự thay đổi, bổ sung thông tin trên Giấy chứng nhận an </w:t>
            </w:r>
            <w:r w:rsidRPr="008C0A4F">
              <w:rPr>
                <w:b w:val="0"/>
                <w:bCs/>
                <w:color w:val="000000"/>
                <w:sz w:val="24"/>
                <w:szCs w:val="24"/>
                <w:lang w:val="vi-VN" w:eastAsia="vi-VN"/>
              </w:rPr>
              <w:lastRenderedPageBreak/>
              <w:t>toàn thực phẩm)</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lastRenderedPageBreak/>
              <w:t>UBND huyện (Công thương)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2.000946</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(Tài nguyên và Môi trường)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1.002335</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Đăng ký và cấp Giấy chứng nhận quyền sử dụng đất, quyền sở hữu nhà ở và tài sản khác gắn liền với đất lần đầu</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(Tài nguyên và Môi trường)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1.004831</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Chuyển trường đối với học sinh trung học cơ sở</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(Giáo dục và Đào tạo)</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1.005099</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Chuyển trường đối với học sinh tiểu học</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(Giáo dục và Đào tạo)</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2.001044</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Chứng thực hợp đồng, giao dịch liên quan đến tài sản là động sản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2.001052</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Chứng thực văn bản khai nhận di sản mà di sản là động sản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2.001050</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Chứng thực văn bản thỏa thuận phân chia di sản mà di sản là động sản</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570E51" w:rsidRPr="00961966" w:rsidTr="00843E12">
        <w:tc>
          <w:tcPr>
            <w:tcW w:w="993" w:type="dxa"/>
            <w:vAlign w:val="center"/>
          </w:tcPr>
          <w:p w:rsidR="00570E51" w:rsidRPr="004A141C" w:rsidRDefault="00570E51"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570E51" w:rsidRPr="008C0A4F" w:rsidRDefault="00570E51" w:rsidP="0019568F">
            <w:pPr>
              <w:spacing w:before="120" w:after="0"/>
              <w:ind w:right="-187"/>
              <w:rPr>
                <w:b w:val="0"/>
                <w:bCs/>
                <w:color w:val="000000"/>
                <w:sz w:val="24"/>
                <w:szCs w:val="24"/>
                <w:lang w:val="vi-VN" w:eastAsia="vi-VN"/>
              </w:rPr>
            </w:pPr>
            <w:r w:rsidRPr="008C0A4F">
              <w:rPr>
                <w:b w:val="0"/>
                <w:bCs/>
                <w:color w:val="000000"/>
                <w:sz w:val="24"/>
                <w:szCs w:val="24"/>
                <w:lang w:val="vi-VN" w:eastAsia="vi-VN"/>
              </w:rPr>
              <w:t>2.000913</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570E51" w:rsidRPr="008C0A4F" w:rsidRDefault="00570E51" w:rsidP="0019568F">
            <w:pPr>
              <w:spacing w:before="120" w:after="0"/>
              <w:ind w:right="-187"/>
              <w:rPr>
                <w:b w:val="0"/>
                <w:bCs/>
                <w:color w:val="000000"/>
                <w:sz w:val="24"/>
                <w:szCs w:val="24"/>
                <w:lang w:val="vi-VN" w:eastAsia="vi-VN"/>
              </w:rPr>
            </w:pPr>
            <w:r w:rsidRPr="008C0A4F">
              <w:rPr>
                <w:b w:val="0"/>
                <w:bCs/>
                <w:color w:val="000000"/>
                <w:sz w:val="24"/>
                <w:szCs w:val="24"/>
                <w:lang w:val="vi-VN" w:eastAsia="vi-VN"/>
              </w:rPr>
              <w:t>Chứng thực việc sửa đổi, bổ sung, hủy bỏ hợp đồng, giao dịch</w:t>
            </w:r>
          </w:p>
        </w:tc>
        <w:tc>
          <w:tcPr>
            <w:tcW w:w="2126" w:type="dxa"/>
            <w:vAlign w:val="center"/>
          </w:tcPr>
          <w:p w:rsidR="00570E51" w:rsidRPr="008C0A4F" w:rsidRDefault="00570E51" w:rsidP="0019568F">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570E51" w:rsidRPr="00961966" w:rsidRDefault="00570E51" w:rsidP="0019568F">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2.000547</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Ghi vào sổ hộ tịch việc hộ tịch khác của công dân Việt Nam đã được giải quyết tại cơ quan có thẩm quyền của nước ngoài (khai sinh, giám hộ; nhận cha, mẹ, con; xác định cha, mẹ, con; nuôi con nuôi, thay đổi hộ tịch, khai tử )</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11</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2.000554</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Ghi vào Sổ hộ tịch việc ly hôn, hủy việc kết hôn của công dân Việt Nam đã được giải quyết tại cơ quan có thẩm quyền của nước ngoài</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10</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2.002189</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Ghi vào Sổ hộ tịch việc kết hôn của công dân Việt Nam đã được giải quyết tại cơ quan có thẩm quyền của nước ngoài</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10</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2.000635</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bản sao trích lục hộ tịch</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(Tư pháp)</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1.007262</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Cấp giấy phép xây dựng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(Xây dựng)</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r w:rsidR="00D11729" w:rsidRPr="00961966" w:rsidTr="00843E12">
        <w:tc>
          <w:tcPr>
            <w:tcW w:w="993" w:type="dxa"/>
            <w:vAlign w:val="center"/>
          </w:tcPr>
          <w:p w:rsidR="00D11729" w:rsidRPr="004A141C" w:rsidRDefault="00D11729" w:rsidP="00843E12">
            <w:pPr>
              <w:pStyle w:val="ListParagraph"/>
              <w:numPr>
                <w:ilvl w:val="0"/>
                <w:numId w:val="24"/>
              </w:numPr>
              <w:spacing w:before="120" w:after="0"/>
              <w:ind w:right="-187"/>
              <w:rPr>
                <w:b w:val="0"/>
                <w:sz w:val="26"/>
                <w:szCs w:val="26"/>
                <w:lang w:val="en-US"/>
              </w:rPr>
            </w:pPr>
          </w:p>
        </w:tc>
        <w:tc>
          <w:tcPr>
            <w:tcW w:w="2557" w:type="dxa"/>
            <w:shd w:val="clear" w:color="auto" w:fill="auto"/>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1.001612</w:t>
            </w:r>
            <w:r>
              <w:rPr>
                <w:b w:val="0"/>
                <w:bCs/>
                <w:color w:val="000000"/>
                <w:sz w:val="24"/>
                <w:szCs w:val="24"/>
                <w:lang w:val="en-US" w:eastAsia="vi-VN"/>
              </w:rPr>
              <w:t>.</w:t>
            </w:r>
            <w:r w:rsidRPr="00EF6497">
              <w:rPr>
                <w:b w:val="0"/>
                <w:sz w:val="24"/>
                <w:szCs w:val="24"/>
                <w:lang w:val="en-US"/>
              </w:rPr>
              <w:t>000.00.00.H40</w:t>
            </w:r>
          </w:p>
        </w:tc>
        <w:tc>
          <w:tcPr>
            <w:tcW w:w="3685"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Đăng ký thành lập hộ kinh doanh</w:t>
            </w:r>
          </w:p>
        </w:tc>
        <w:tc>
          <w:tcPr>
            <w:tcW w:w="2126" w:type="dxa"/>
            <w:vAlign w:val="center"/>
          </w:tcPr>
          <w:p w:rsidR="00D11729" w:rsidRPr="008C0A4F" w:rsidRDefault="00D11729" w:rsidP="00843E12">
            <w:pPr>
              <w:spacing w:before="120" w:after="0"/>
              <w:ind w:right="-187"/>
              <w:rPr>
                <w:b w:val="0"/>
                <w:bCs/>
                <w:color w:val="000000"/>
                <w:sz w:val="24"/>
                <w:szCs w:val="24"/>
                <w:lang w:val="vi-VN" w:eastAsia="vi-VN"/>
              </w:rPr>
            </w:pPr>
            <w:r w:rsidRPr="008C0A4F">
              <w:rPr>
                <w:b w:val="0"/>
                <w:bCs/>
                <w:color w:val="000000"/>
                <w:sz w:val="24"/>
                <w:szCs w:val="24"/>
                <w:lang w:val="vi-VN" w:eastAsia="vi-VN"/>
              </w:rPr>
              <w:t>UBND huyện (Tài chính - Kế hoạch)</w:t>
            </w:r>
          </w:p>
        </w:tc>
        <w:tc>
          <w:tcPr>
            <w:tcW w:w="1276" w:type="dxa"/>
            <w:shd w:val="clear" w:color="auto" w:fill="auto"/>
          </w:tcPr>
          <w:p w:rsidR="00D11729" w:rsidRPr="00961966" w:rsidRDefault="00D11729" w:rsidP="00843E12">
            <w:pPr>
              <w:spacing w:before="120" w:after="0"/>
              <w:ind w:right="-187"/>
              <w:rPr>
                <w:b w:val="0"/>
                <w:sz w:val="26"/>
                <w:szCs w:val="26"/>
                <w:lang w:val="en-US"/>
              </w:rPr>
            </w:pPr>
            <w:r>
              <w:rPr>
                <w:b w:val="0"/>
                <w:sz w:val="26"/>
                <w:szCs w:val="26"/>
                <w:lang w:val="en-US"/>
              </w:rPr>
              <w:t>2,3,7</w:t>
            </w:r>
          </w:p>
        </w:tc>
      </w:tr>
    </w:tbl>
    <w:p w:rsidR="0080349F" w:rsidRDefault="0080349F"/>
    <w:sectPr w:rsidR="0080349F" w:rsidSect="00050C9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32" w:rsidRDefault="009F1A32" w:rsidP="00D11729">
      <w:pPr>
        <w:spacing w:after="0" w:line="240" w:lineRule="auto"/>
      </w:pPr>
      <w:r>
        <w:separator/>
      </w:r>
    </w:p>
  </w:endnote>
  <w:endnote w:type="continuationSeparator" w:id="0">
    <w:p w:rsidR="009F1A32" w:rsidRDefault="009F1A32" w:rsidP="00D1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32" w:rsidRDefault="009F1A32" w:rsidP="00D11729">
      <w:pPr>
        <w:spacing w:after="0" w:line="240" w:lineRule="auto"/>
      </w:pPr>
      <w:r>
        <w:separator/>
      </w:r>
    </w:p>
  </w:footnote>
  <w:footnote w:type="continuationSeparator" w:id="0">
    <w:p w:rsidR="009F1A32" w:rsidRDefault="009F1A32" w:rsidP="00D11729">
      <w:pPr>
        <w:spacing w:after="0" w:line="240" w:lineRule="auto"/>
      </w:pPr>
      <w:r>
        <w:continuationSeparator/>
      </w:r>
    </w:p>
  </w:footnote>
  <w:footnote w:id="1">
    <w:p w:rsidR="00D11729" w:rsidRPr="00267F3D" w:rsidRDefault="00D11729" w:rsidP="00D11729">
      <w:pPr>
        <w:pStyle w:val="FootnoteText"/>
        <w:spacing w:after="0"/>
        <w:jc w:val="both"/>
        <w:rPr>
          <w:rStyle w:val="FootnoteReference"/>
          <w:b w:val="0"/>
          <w:sz w:val="22"/>
          <w:szCs w:val="22"/>
        </w:rPr>
      </w:pPr>
      <w:r w:rsidRPr="00DC7173">
        <w:rPr>
          <w:rStyle w:val="FootnoteReference"/>
          <w:sz w:val="22"/>
          <w:szCs w:val="22"/>
        </w:rPr>
        <w:footnoteRef/>
      </w:r>
      <w:r w:rsidRPr="00DC7173">
        <w:rPr>
          <w:rStyle w:val="FootnoteReference"/>
          <w:b w:val="0"/>
          <w:sz w:val="22"/>
          <w:szCs w:val="22"/>
        </w:rPr>
        <w:t xml:space="preserve">Mã dịch vụ công trên Cổng Dịch vụ công của tỉnh/thành phố, sử </w:t>
      </w:r>
      <w:r w:rsidRPr="004C2E87">
        <w:rPr>
          <w:rStyle w:val="FootnoteReference"/>
          <w:b w:val="0"/>
          <w:sz w:val="22"/>
          <w:szCs w:val="22"/>
        </w:rPr>
        <w:t>dụng thống nhất với mã</w:t>
      </w:r>
      <w:r w:rsidRPr="00DC7173">
        <w:rPr>
          <w:rStyle w:val="FootnoteReference"/>
          <w:b w:val="0"/>
          <w:sz w:val="22"/>
          <w:szCs w:val="22"/>
        </w:rPr>
        <w:t xml:space="preserve"> dịch vụ công trên Cổng Dịch vụ công quốc gia để bảo đảm thống nhất trong </w:t>
      </w:r>
      <w:r w:rsidRPr="00A45334">
        <w:rPr>
          <w:rStyle w:val="FootnoteReference"/>
          <w:b w:val="0"/>
          <w:sz w:val="22"/>
          <w:szCs w:val="22"/>
        </w:rPr>
        <w:t xml:space="preserve">toàn </w:t>
      </w:r>
      <w:r w:rsidRPr="00267F3D">
        <w:rPr>
          <w:rStyle w:val="FootnoteReference"/>
          <w:b w:val="0"/>
          <w:sz w:val="22"/>
          <w:szCs w:val="22"/>
        </w:rPr>
        <w:t>quốc, danh mục dịch vụ công ưu tiên được gửi kèm theo Văn bản số</w:t>
      </w:r>
      <w:r w:rsidRPr="00A45334">
        <w:rPr>
          <w:rStyle w:val="FootnoteReference"/>
          <w:b w:val="0"/>
          <w:sz w:val="22"/>
          <w:szCs w:val="22"/>
        </w:rPr>
        <w:t xml:space="preserve"> 1486/BTTTT-THH ngày 12/5/</w:t>
      </w:r>
      <w:r w:rsidRPr="00267F3D">
        <w:rPr>
          <w:rStyle w:val="FootnoteReference"/>
          <w:b w:val="0"/>
          <w:sz w:val="22"/>
          <w:szCs w:val="22"/>
        </w:rPr>
        <w:t>2021 của Bộ TTTT.</w:t>
      </w:r>
    </w:p>
  </w:footnote>
  <w:footnote w:id="2">
    <w:p w:rsidR="00D11729" w:rsidRPr="00EE2789" w:rsidRDefault="00D11729" w:rsidP="00D11729">
      <w:pPr>
        <w:pStyle w:val="FootnoteText"/>
        <w:jc w:val="both"/>
        <w:rPr>
          <w:rStyle w:val="FootnoteReference"/>
          <w:b w:val="0"/>
          <w:bCs/>
          <w:sz w:val="24"/>
          <w:szCs w:val="24"/>
        </w:rPr>
      </w:pPr>
      <w:r w:rsidRPr="00DC7173">
        <w:rPr>
          <w:rStyle w:val="FootnoteReference"/>
          <w:sz w:val="22"/>
          <w:szCs w:val="22"/>
        </w:rPr>
        <w:footnoteRef/>
      </w:r>
      <w:r w:rsidRPr="00DC7173">
        <w:rPr>
          <w:rStyle w:val="FootnoteReference"/>
          <w:b w:val="0"/>
          <w:bCs/>
          <w:sz w:val="22"/>
          <w:szCs w:val="22"/>
        </w:rPr>
        <w:t>Số thứ tự của các dịch vụ chia sẻ dữ liệu do CSDL quốc gia về dân cư cung cấp theo tài liệu hướng dẫn kỹ thuật của Bộ TTTT (hiện có 11 dịch vụ); được xác định trên cơ sở phân tích biểu mẫu/tờ khai, nhu cầu xác minh, xác thực thông tin công dân khi thực hiện thủ tục hành chính, cung cấp dịch vụ công, hướng đến đơn giản, loại bỏ bản giấy của thành phần hồ sơ, giấy tờ liên quan đến công dân từ việc khai thác CSDL quốc gia về dân cư.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5B"/>
    <w:multiLevelType w:val="hybridMultilevel"/>
    <w:tmpl w:val="334C61C8"/>
    <w:lvl w:ilvl="0" w:tplc="9094DFE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60B01F7"/>
    <w:multiLevelType w:val="hybridMultilevel"/>
    <w:tmpl w:val="E42A9B72"/>
    <w:lvl w:ilvl="0" w:tplc="F146C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35D08"/>
    <w:multiLevelType w:val="hybridMultilevel"/>
    <w:tmpl w:val="08B6838E"/>
    <w:lvl w:ilvl="0" w:tplc="A766914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6C83BB7"/>
    <w:multiLevelType w:val="hybridMultilevel"/>
    <w:tmpl w:val="600634E8"/>
    <w:lvl w:ilvl="0" w:tplc="0908DF0E">
      <w:start w:val="1"/>
      <w:numFmt w:val="decimal"/>
      <w:lvlText w:val="%1."/>
      <w:lvlJc w:val="left"/>
      <w:pPr>
        <w:ind w:left="930" w:hanging="360"/>
      </w:pPr>
      <w:rPr>
        <w:rFonts w:hint="default"/>
        <w:b w:val="0"/>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2D414EEC"/>
    <w:multiLevelType w:val="hybridMultilevel"/>
    <w:tmpl w:val="4596F850"/>
    <w:lvl w:ilvl="0" w:tplc="82709A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B3658"/>
    <w:multiLevelType w:val="hybridMultilevel"/>
    <w:tmpl w:val="2E1426F8"/>
    <w:lvl w:ilvl="0" w:tplc="B6D49BD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34CC35DD"/>
    <w:multiLevelType w:val="hybridMultilevel"/>
    <w:tmpl w:val="313E7D32"/>
    <w:lvl w:ilvl="0" w:tplc="0D6663D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EA20E96"/>
    <w:multiLevelType w:val="hybridMultilevel"/>
    <w:tmpl w:val="11EAB0FE"/>
    <w:lvl w:ilvl="0" w:tplc="64243BA2">
      <w:start w:val="1"/>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40DF7765"/>
    <w:multiLevelType w:val="hybridMultilevel"/>
    <w:tmpl w:val="21228564"/>
    <w:lvl w:ilvl="0" w:tplc="0B2AAB1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167E5"/>
    <w:multiLevelType w:val="hybridMultilevel"/>
    <w:tmpl w:val="9D60F21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48220AA3"/>
    <w:multiLevelType w:val="hybridMultilevel"/>
    <w:tmpl w:val="B54EEE1A"/>
    <w:lvl w:ilvl="0" w:tplc="B4EC348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B43167D"/>
    <w:multiLevelType w:val="hybridMultilevel"/>
    <w:tmpl w:val="97A86D8C"/>
    <w:lvl w:ilvl="0" w:tplc="B7305058">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2">
    <w:nsid w:val="50411C11"/>
    <w:multiLevelType w:val="hybridMultilevel"/>
    <w:tmpl w:val="B596CB3A"/>
    <w:lvl w:ilvl="0" w:tplc="366654E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21539D0"/>
    <w:multiLevelType w:val="hybridMultilevel"/>
    <w:tmpl w:val="A210C89E"/>
    <w:lvl w:ilvl="0" w:tplc="9ED01B3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53AF3617"/>
    <w:multiLevelType w:val="hybridMultilevel"/>
    <w:tmpl w:val="A28EC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663D1"/>
    <w:multiLevelType w:val="hybridMultilevel"/>
    <w:tmpl w:val="8556D9FC"/>
    <w:lvl w:ilvl="0" w:tplc="2FE237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413196"/>
    <w:multiLevelType w:val="hybridMultilevel"/>
    <w:tmpl w:val="2772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D2960"/>
    <w:multiLevelType w:val="hybridMultilevel"/>
    <w:tmpl w:val="E1AA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A0B2E"/>
    <w:multiLevelType w:val="hybridMultilevel"/>
    <w:tmpl w:val="9D60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B1F0F"/>
    <w:multiLevelType w:val="hybridMultilevel"/>
    <w:tmpl w:val="AD32F830"/>
    <w:lvl w:ilvl="0" w:tplc="D12AEF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32071DE"/>
    <w:multiLevelType w:val="hybridMultilevel"/>
    <w:tmpl w:val="FCD2CF70"/>
    <w:lvl w:ilvl="0" w:tplc="53E87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58D0427"/>
    <w:multiLevelType w:val="hybridMultilevel"/>
    <w:tmpl w:val="BFD6F0B0"/>
    <w:lvl w:ilvl="0" w:tplc="E5521B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76F97"/>
    <w:multiLevelType w:val="hybridMultilevel"/>
    <w:tmpl w:val="6BCA94E8"/>
    <w:lvl w:ilvl="0" w:tplc="2806C08A">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7F9627E"/>
    <w:multiLevelType w:val="hybridMultilevel"/>
    <w:tmpl w:val="A87080BA"/>
    <w:lvl w:ilvl="0" w:tplc="6B0E8A92">
      <w:numFmt w:val="bullet"/>
      <w:lvlText w:val="-"/>
      <w:lvlJc w:val="left"/>
      <w:pPr>
        <w:ind w:left="990" w:hanging="360"/>
      </w:pPr>
      <w:rPr>
        <w:rFonts w:ascii="Times New Roman" w:eastAsia="Times New Roman" w:hAnsi="Times New Roman" w:cs="Times New Roman" w:hint="default"/>
        <w:color w:val="00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8"/>
  </w:num>
  <w:num w:numId="3">
    <w:abstractNumId w:val="23"/>
  </w:num>
  <w:num w:numId="4">
    <w:abstractNumId w:val="4"/>
  </w:num>
  <w:num w:numId="5">
    <w:abstractNumId w:val="15"/>
  </w:num>
  <w:num w:numId="6">
    <w:abstractNumId w:val="0"/>
  </w:num>
  <w:num w:numId="7">
    <w:abstractNumId w:val="20"/>
  </w:num>
  <w:num w:numId="8">
    <w:abstractNumId w:val="6"/>
  </w:num>
  <w:num w:numId="9">
    <w:abstractNumId w:val="22"/>
  </w:num>
  <w:num w:numId="10">
    <w:abstractNumId w:val="1"/>
  </w:num>
  <w:num w:numId="11">
    <w:abstractNumId w:val="19"/>
  </w:num>
  <w:num w:numId="12">
    <w:abstractNumId w:val="13"/>
  </w:num>
  <w:num w:numId="13">
    <w:abstractNumId w:val="2"/>
  </w:num>
  <w:num w:numId="14">
    <w:abstractNumId w:val="3"/>
  </w:num>
  <w:num w:numId="15">
    <w:abstractNumId w:val="7"/>
  </w:num>
  <w:num w:numId="16">
    <w:abstractNumId w:val="17"/>
  </w:num>
  <w:num w:numId="17">
    <w:abstractNumId w:val="21"/>
  </w:num>
  <w:num w:numId="18">
    <w:abstractNumId w:val="10"/>
  </w:num>
  <w:num w:numId="19">
    <w:abstractNumId w:val="12"/>
  </w:num>
  <w:num w:numId="20">
    <w:abstractNumId w:val="18"/>
  </w:num>
  <w:num w:numId="21">
    <w:abstractNumId w:val="11"/>
  </w:num>
  <w:num w:numId="22">
    <w:abstractNumId w:val="9"/>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29"/>
    <w:rsid w:val="00050C9F"/>
    <w:rsid w:val="00110819"/>
    <w:rsid w:val="003A66C7"/>
    <w:rsid w:val="00570E51"/>
    <w:rsid w:val="006246DB"/>
    <w:rsid w:val="0080349F"/>
    <w:rsid w:val="009F1A32"/>
    <w:rsid w:val="00CC073C"/>
    <w:rsid w:val="00D11729"/>
    <w:rsid w:val="00DA057E"/>
    <w:rsid w:val="00ED7BED"/>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29"/>
    <w:pPr>
      <w:tabs>
        <w:tab w:val="left" w:pos="1425"/>
      </w:tabs>
    </w:pPr>
    <w:rPr>
      <w:rFonts w:ascii="Times New Roman" w:eastAsia="Times New Roman" w:hAnsi="Times New Roman" w:cs="Times New Roman"/>
      <w:b/>
      <w:sz w:val="28"/>
      <w:szCs w:val="2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29"/>
    <w:pPr>
      <w:ind w:left="720"/>
      <w:contextualSpacing/>
    </w:pPr>
  </w:style>
  <w:style w:type="paragraph" w:styleId="Header">
    <w:name w:val="header"/>
    <w:basedOn w:val="Normal"/>
    <w:link w:val="HeaderChar"/>
    <w:uiPriority w:val="99"/>
    <w:unhideWhenUsed/>
    <w:rsid w:val="00D11729"/>
    <w:pPr>
      <w:tabs>
        <w:tab w:val="center" w:pos="4680"/>
        <w:tab w:val="right" w:pos="9360"/>
      </w:tabs>
    </w:pPr>
    <w:rPr>
      <w:rFonts w:ascii="Calibri" w:hAnsi="Calibri"/>
      <w:b w:val="0"/>
      <w:sz w:val="22"/>
      <w:szCs w:val="22"/>
    </w:rPr>
  </w:style>
  <w:style w:type="character" w:customStyle="1" w:styleId="HeaderChar">
    <w:name w:val="Header Char"/>
    <w:basedOn w:val="DefaultParagraphFont"/>
    <w:link w:val="Header"/>
    <w:uiPriority w:val="99"/>
    <w:rsid w:val="00D11729"/>
    <w:rPr>
      <w:rFonts w:ascii="Calibri" w:eastAsia="Times New Roman" w:hAnsi="Calibri" w:cs="Times New Roman"/>
      <w:lang w:val="hu-HU"/>
    </w:rPr>
  </w:style>
  <w:style w:type="paragraph" w:styleId="Footer">
    <w:name w:val="footer"/>
    <w:basedOn w:val="Normal"/>
    <w:link w:val="FooterChar"/>
    <w:uiPriority w:val="99"/>
    <w:unhideWhenUsed/>
    <w:rsid w:val="00D11729"/>
    <w:pPr>
      <w:tabs>
        <w:tab w:val="center" w:pos="4680"/>
        <w:tab w:val="right" w:pos="9360"/>
      </w:tabs>
    </w:pPr>
    <w:rPr>
      <w:rFonts w:ascii="Calibri" w:hAnsi="Calibri"/>
      <w:b w:val="0"/>
      <w:sz w:val="22"/>
      <w:szCs w:val="22"/>
    </w:rPr>
  </w:style>
  <w:style w:type="character" w:customStyle="1" w:styleId="FooterChar">
    <w:name w:val="Footer Char"/>
    <w:basedOn w:val="DefaultParagraphFont"/>
    <w:link w:val="Footer"/>
    <w:uiPriority w:val="99"/>
    <w:rsid w:val="00D11729"/>
    <w:rPr>
      <w:rFonts w:ascii="Calibri" w:eastAsia="Times New Roman" w:hAnsi="Calibri" w:cs="Times New Roman"/>
      <w:lang w:val="hu-HU"/>
    </w:rPr>
  </w:style>
  <w:style w:type="table" w:styleId="TableGrid">
    <w:name w:val="Table Grid"/>
    <w:basedOn w:val="TableNormal"/>
    <w:uiPriority w:val="59"/>
    <w:rsid w:val="00D1172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11729"/>
    <w:rPr>
      <w:rFonts w:ascii="Tahoma" w:hAnsi="Tahoma"/>
      <w:sz w:val="16"/>
      <w:szCs w:val="16"/>
    </w:rPr>
  </w:style>
  <w:style w:type="character" w:customStyle="1" w:styleId="DocumentMapChar">
    <w:name w:val="Document Map Char"/>
    <w:basedOn w:val="DefaultParagraphFont"/>
    <w:link w:val="DocumentMap"/>
    <w:uiPriority w:val="99"/>
    <w:semiHidden/>
    <w:rsid w:val="00D11729"/>
    <w:rPr>
      <w:rFonts w:ascii="Tahoma" w:eastAsia="Times New Roman" w:hAnsi="Tahoma" w:cs="Times New Roman"/>
      <w:b/>
      <w:sz w:val="16"/>
      <w:szCs w:val="16"/>
      <w:lang w:val="hu-HU"/>
    </w:rPr>
  </w:style>
  <w:style w:type="paragraph" w:styleId="Title">
    <w:name w:val="Title"/>
    <w:basedOn w:val="Normal"/>
    <w:next w:val="Normal"/>
    <w:link w:val="TitleChar"/>
    <w:uiPriority w:val="10"/>
    <w:qFormat/>
    <w:rsid w:val="00D11729"/>
    <w:pPr>
      <w:spacing w:before="240" w:after="60"/>
      <w:jc w:val="center"/>
      <w:outlineLvl w:val="0"/>
    </w:pPr>
    <w:rPr>
      <w:rFonts w:ascii="Cambria" w:hAnsi="Cambria"/>
      <w:bCs/>
      <w:kern w:val="28"/>
      <w:sz w:val="32"/>
      <w:szCs w:val="32"/>
    </w:rPr>
  </w:style>
  <w:style w:type="character" w:customStyle="1" w:styleId="TitleChar">
    <w:name w:val="Title Char"/>
    <w:basedOn w:val="DefaultParagraphFont"/>
    <w:link w:val="Title"/>
    <w:uiPriority w:val="10"/>
    <w:rsid w:val="00D11729"/>
    <w:rPr>
      <w:rFonts w:ascii="Cambria" w:eastAsia="Times New Roman" w:hAnsi="Cambria" w:cs="Times New Roman"/>
      <w:b/>
      <w:bCs/>
      <w:kern w:val="28"/>
      <w:sz w:val="32"/>
      <w:szCs w:val="32"/>
      <w:lang w:val="hu-HU"/>
    </w:rPr>
  </w:style>
  <w:style w:type="paragraph" w:customStyle="1" w:styleId="Char">
    <w:name w:val="Char"/>
    <w:basedOn w:val="Normal"/>
    <w:rsid w:val="00D11729"/>
    <w:pPr>
      <w:pageBreakBefore/>
      <w:tabs>
        <w:tab w:val="clear" w:pos="1425"/>
      </w:tabs>
      <w:spacing w:before="100" w:beforeAutospacing="1" w:after="100" w:afterAutospacing="1" w:line="240" w:lineRule="auto"/>
    </w:pPr>
    <w:rPr>
      <w:rFonts w:ascii="Tahoma" w:hAnsi="Tahoma" w:cs="Tahoma"/>
      <w:b w:val="0"/>
      <w:sz w:val="20"/>
      <w:szCs w:val="20"/>
      <w:lang w:val="en-US"/>
    </w:rPr>
  </w:style>
  <w:style w:type="paragraph" w:styleId="BalloonText">
    <w:name w:val="Balloon Text"/>
    <w:basedOn w:val="Normal"/>
    <w:link w:val="BalloonTextChar"/>
    <w:uiPriority w:val="99"/>
    <w:semiHidden/>
    <w:unhideWhenUsed/>
    <w:rsid w:val="00D1172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1729"/>
    <w:rPr>
      <w:rFonts w:ascii="Segoe UI" w:eastAsia="Times New Roman" w:hAnsi="Segoe UI" w:cs="Times New Roman"/>
      <w:b/>
      <w:sz w:val="18"/>
      <w:szCs w:val="18"/>
      <w:lang w:val="hu-HU"/>
    </w:rPr>
  </w:style>
  <w:style w:type="paragraph" w:styleId="FootnoteText">
    <w:name w:val="footnote text"/>
    <w:basedOn w:val="Normal"/>
    <w:link w:val="FootnoteTextChar"/>
    <w:uiPriority w:val="99"/>
    <w:semiHidden/>
    <w:unhideWhenUsed/>
    <w:rsid w:val="00D11729"/>
    <w:rPr>
      <w:sz w:val="20"/>
      <w:szCs w:val="20"/>
    </w:rPr>
  </w:style>
  <w:style w:type="character" w:customStyle="1" w:styleId="FootnoteTextChar">
    <w:name w:val="Footnote Text Char"/>
    <w:basedOn w:val="DefaultParagraphFont"/>
    <w:link w:val="FootnoteText"/>
    <w:uiPriority w:val="99"/>
    <w:semiHidden/>
    <w:rsid w:val="00D11729"/>
    <w:rPr>
      <w:rFonts w:ascii="Times New Roman" w:eastAsia="Times New Roman" w:hAnsi="Times New Roman" w:cs="Times New Roman"/>
      <w:b/>
      <w:sz w:val="20"/>
      <w:szCs w:val="20"/>
      <w:lang w:val="hu-HU"/>
    </w:rPr>
  </w:style>
  <w:style w:type="character" w:styleId="FootnoteReference">
    <w:name w:val="footnote reference"/>
    <w:uiPriority w:val="99"/>
    <w:semiHidden/>
    <w:unhideWhenUsed/>
    <w:rsid w:val="00D11729"/>
    <w:rPr>
      <w:vertAlign w:val="superscript"/>
    </w:rPr>
  </w:style>
  <w:style w:type="paragraph" w:styleId="EndnoteText">
    <w:name w:val="endnote text"/>
    <w:basedOn w:val="Normal"/>
    <w:link w:val="EndnoteTextChar"/>
    <w:uiPriority w:val="99"/>
    <w:semiHidden/>
    <w:unhideWhenUsed/>
    <w:rsid w:val="00D11729"/>
    <w:rPr>
      <w:sz w:val="20"/>
      <w:szCs w:val="20"/>
    </w:rPr>
  </w:style>
  <w:style w:type="character" w:customStyle="1" w:styleId="EndnoteTextChar">
    <w:name w:val="Endnote Text Char"/>
    <w:basedOn w:val="DefaultParagraphFont"/>
    <w:link w:val="EndnoteText"/>
    <w:uiPriority w:val="99"/>
    <w:semiHidden/>
    <w:rsid w:val="00D11729"/>
    <w:rPr>
      <w:rFonts w:ascii="Times New Roman" w:eastAsia="Times New Roman" w:hAnsi="Times New Roman" w:cs="Times New Roman"/>
      <w:b/>
      <w:sz w:val="20"/>
      <w:szCs w:val="20"/>
      <w:lang w:val="hu-HU"/>
    </w:rPr>
  </w:style>
  <w:style w:type="character" w:styleId="EndnoteReference">
    <w:name w:val="endnote reference"/>
    <w:uiPriority w:val="99"/>
    <w:semiHidden/>
    <w:unhideWhenUsed/>
    <w:rsid w:val="00D11729"/>
    <w:rPr>
      <w:vertAlign w:val="superscript"/>
    </w:rPr>
  </w:style>
  <w:style w:type="character" w:styleId="CommentReference">
    <w:name w:val="annotation reference"/>
    <w:uiPriority w:val="99"/>
    <w:semiHidden/>
    <w:unhideWhenUsed/>
    <w:rsid w:val="00D11729"/>
    <w:rPr>
      <w:sz w:val="16"/>
      <w:szCs w:val="16"/>
    </w:rPr>
  </w:style>
  <w:style w:type="paragraph" w:styleId="CommentText">
    <w:name w:val="annotation text"/>
    <w:basedOn w:val="Normal"/>
    <w:link w:val="CommentTextChar"/>
    <w:uiPriority w:val="99"/>
    <w:semiHidden/>
    <w:unhideWhenUsed/>
    <w:rsid w:val="00D11729"/>
    <w:rPr>
      <w:sz w:val="20"/>
      <w:szCs w:val="20"/>
    </w:rPr>
  </w:style>
  <w:style w:type="character" w:customStyle="1" w:styleId="CommentTextChar">
    <w:name w:val="Comment Text Char"/>
    <w:basedOn w:val="DefaultParagraphFont"/>
    <w:link w:val="CommentText"/>
    <w:uiPriority w:val="99"/>
    <w:semiHidden/>
    <w:rsid w:val="00D11729"/>
    <w:rPr>
      <w:rFonts w:ascii="Times New Roman" w:eastAsia="Times New Roman" w:hAnsi="Times New Roman" w:cs="Times New Roman"/>
      <w:b/>
      <w:sz w:val="20"/>
      <w:szCs w:val="20"/>
      <w:lang w:val="hu-HU"/>
    </w:rPr>
  </w:style>
  <w:style w:type="paragraph" w:styleId="CommentSubject">
    <w:name w:val="annotation subject"/>
    <w:basedOn w:val="CommentText"/>
    <w:next w:val="CommentText"/>
    <w:link w:val="CommentSubjectChar"/>
    <w:uiPriority w:val="99"/>
    <w:semiHidden/>
    <w:unhideWhenUsed/>
    <w:rsid w:val="00D11729"/>
    <w:rPr>
      <w:bCs/>
    </w:rPr>
  </w:style>
  <w:style w:type="character" w:customStyle="1" w:styleId="CommentSubjectChar">
    <w:name w:val="Comment Subject Char"/>
    <w:basedOn w:val="CommentTextChar"/>
    <w:link w:val="CommentSubject"/>
    <w:uiPriority w:val="99"/>
    <w:semiHidden/>
    <w:rsid w:val="00D11729"/>
    <w:rPr>
      <w:rFonts w:ascii="Times New Roman" w:eastAsia="Times New Roman" w:hAnsi="Times New Roman" w:cs="Times New Roman"/>
      <w:b/>
      <w:bCs/>
      <w:sz w:val="20"/>
      <w:szCs w:val="20"/>
      <w:lang w:val="hu-HU"/>
    </w:rPr>
  </w:style>
  <w:style w:type="character" w:styleId="Hyperlink">
    <w:name w:val="Hyperlink"/>
    <w:basedOn w:val="DefaultParagraphFont"/>
    <w:uiPriority w:val="99"/>
    <w:semiHidden/>
    <w:unhideWhenUsed/>
    <w:rsid w:val="00D11729"/>
    <w:rPr>
      <w:color w:val="0563C1"/>
      <w:u w:val="single"/>
    </w:rPr>
  </w:style>
  <w:style w:type="character" w:styleId="FollowedHyperlink">
    <w:name w:val="FollowedHyperlink"/>
    <w:basedOn w:val="DefaultParagraphFont"/>
    <w:uiPriority w:val="99"/>
    <w:semiHidden/>
    <w:unhideWhenUsed/>
    <w:rsid w:val="00D11729"/>
    <w:rPr>
      <w:color w:val="954F72"/>
      <w:u w:val="single"/>
    </w:rPr>
  </w:style>
  <w:style w:type="paragraph" w:customStyle="1" w:styleId="msonormal0">
    <w:name w:val="msonormal"/>
    <w:basedOn w:val="Normal"/>
    <w:rsid w:val="00D11729"/>
    <w:pPr>
      <w:tabs>
        <w:tab w:val="clear" w:pos="1425"/>
      </w:tabs>
      <w:spacing w:before="100" w:beforeAutospacing="1" w:after="100" w:afterAutospacing="1" w:line="240" w:lineRule="auto"/>
    </w:pPr>
    <w:rPr>
      <w:b w:val="0"/>
      <w:sz w:val="24"/>
      <w:szCs w:val="24"/>
      <w:lang w:val="en-US"/>
    </w:rPr>
  </w:style>
  <w:style w:type="paragraph" w:customStyle="1" w:styleId="xl65">
    <w:name w:val="xl65"/>
    <w:basedOn w:val="Normal"/>
    <w:rsid w:val="00D11729"/>
    <w:pPr>
      <w:pBdr>
        <w:top w:val="single" w:sz="4" w:space="0" w:color="8EA9DB"/>
        <w:bottom w:val="single" w:sz="4" w:space="0" w:color="8EA9DB"/>
      </w:pBdr>
      <w:shd w:val="clear" w:color="D9E1F2" w:fill="FFFFFF"/>
      <w:tabs>
        <w:tab w:val="clear" w:pos="1425"/>
      </w:tabs>
      <w:spacing w:before="100" w:beforeAutospacing="1" w:after="100" w:afterAutospacing="1" w:line="240" w:lineRule="auto"/>
    </w:pPr>
    <w:rPr>
      <w:b w:val="0"/>
      <w:sz w:val="24"/>
      <w:szCs w:val="24"/>
      <w:lang w:val="en-US"/>
    </w:rPr>
  </w:style>
  <w:style w:type="paragraph" w:customStyle="1" w:styleId="xl66">
    <w:name w:val="xl66"/>
    <w:basedOn w:val="Normal"/>
    <w:rsid w:val="00D11729"/>
    <w:pPr>
      <w:pBdr>
        <w:top w:val="single" w:sz="4" w:space="0" w:color="8EA9DB"/>
        <w:left w:val="single" w:sz="4" w:space="0" w:color="8EA9DB"/>
        <w:bottom w:val="single" w:sz="4" w:space="0" w:color="8EA9DB"/>
      </w:pBdr>
      <w:shd w:val="clear" w:color="D9E1F2" w:fill="FFFFFF"/>
      <w:tabs>
        <w:tab w:val="clear" w:pos="1425"/>
      </w:tabs>
      <w:spacing w:before="100" w:beforeAutospacing="1" w:after="100" w:afterAutospacing="1" w:line="240" w:lineRule="auto"/>
    </w:pPr>
    <w:rPr>
      <w:b w:val="0"/>
      <w:sz w:val="24"/>
      <w:szCs w:val="24"/>
      <w:lang w:val="en-US"/>
    </w:rPr>
  </w:style>
  <w:style w:type="paragraph" w:customStyle="1" w:styleId="xl67">
    <w:name w:val="xl67"/>
    <w:basedOn w:val="Normal"/>
    <w:rsid w:val="00D11729"/>
    <w:pPr>
      <w:pBdr>
        <w:top w:val="single" w:sz="4" w:space="0" w:color="8EA9DB"/>
        <w:bottom w:val="single" w:sz="4" w:space="0" w:color="8EA9DB"/>
        <w:right w:val="single" w:sz="4" w:space="0" w:color="8EA9DB"/>
      </w:pBdr>
      <w:shd w:val="clear" w:color="D9E1F2" w:fill="FFFFFF"/>
      <w:tabs>
        <w:tab w:val="clear" w:pos="1425"/>
      </w:tabs>
      <w:spacing w:before="100" w:beforeAutospacing="1" w:after="100" w:afterAutospacing="1" w:line="240" w:lineRule="auto"/>
    </w:pPr>
    <w:rPr>
      <w:b w:val="0"/>
      <w:sz w:val="24"/>
      <w:szCs w:val="24"/>
      <w:lang w:val="en-US"/>
    </w:rPr>
  </w:style>
  <w:style w:type="paragraph" w:customStyle="1" w:styleId="xl68">
    <w:name w:val="xl68"/>
    <w:basedOn w:val="Normal"/>
    <w:rsid w:val="00D11729"/>
    <w:pPr>
      <w:pBdr>
        <w:top w:val="single" w:sz="4" w:space="0" w:color="8EA9DB"/>
        <w:bottom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69">
    <w:name w:val="xl69"/>
    <w:basedOn w:val="Normal"/>
    <w:rsid w:val="00D11729"/>
    <w:pPr>
      <w:pBdr>
        <w:top w:val="single" w:sz="4" w:space="0" w:color="8EA9DB"/>
        <w:left w:val="single" w:sz="4" w:space="0" w:color="8EA9DB"/>
        <w:bottom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0">
    <w:name w:val="xl70"/>
    <w:basedOn w:val="Normal"/>
    <w:rsid w:val="00D11729"/>
    <w:pPr>
      <w:pBdr>
        <w:top w:val="single" w:sz="4" w:space="0" w:color="8EA9DB"/>
        <w:bottom w:val="single" w:sz="4" w:space="0" w:color="8EA9DB"/>
        <w:right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1">
    <w:name w:val="xl71"/>
    <w:basedOn w:val="Normal"/>
    <w:rsid w:val="00D11729"/>
    <w:pPr>
      <w:pBdr>
        <w:top w:val="single" w:sz="4" w:space="0" w:color="8EA9DB"/>
        <w:bottom w:val="single" w:sz="4" w:space="0" w:color="auto"/>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2">
    <w:name w:val="xl72"/>
    <w:basedOn w:val="Normal"/>
    <w:rsid w:val="00D11729"/>
    <w:pPr>
      <w:pBdr>
        <w:top w:val="single" w:sz="4" w:space="0" w:color="8EA9DB"/>
        <w:left w:val="single" w:sz="4" w:space="0" w:color="8EA9DB"/>
        <w:bottom w:val="single" w:sz="4" w:space="0" w:color="auto"/>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3">
    <w:name w:val="xl73"/>
    <w:basedOn w:val="Normal"/>
    <w:rsid w:val="00D11729"/>
    <w:pPr>
      <w:pBdr>
        <w:top w:val="single" w:sz="4" w:space="0" w:color="8EA9DB"/>
        <w:bottom w:val="single" w:sz="4" w:space="0" w:color="auto"/>
        <w:right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4">
    <w:name w:val="xl74"/>
    <w:basedOn w:val="Normal"/>
    <w:rsid w:val="00D11729"/>
    <w:pPr>
      <w:tabs>
        <w:tab w:val="clear" w:pos="1425"/>
      </w:tabs>
      <w:spacing w:before="100" w:beforeAutospacing="1" w:after="100" w:afterAutospacing="1" w:line="240" w:lineRule="auto"/>
    </w:pPr>
    <w:rPr>
      <w:b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29"/>
    <w:pPr>
      <w:tabs>
        <w:tab w:val="left" w:pos="1425"/>
      </w:tabs>
    </w:pPr>
    <w:rPr>
      <w:rFonts w:ascii="Times New Roman" w:eastAsia="Times New Roman" w:hAnsi="Times New Roman" w:cs="Times New Roman"/>
      <w:b/>
      <w:sz w:val="28"/>
      <w:szCs w:val="28"/>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29"/>
    <w:pPr>
      <w:ind w:left="720"/>
      <w:contextualSpacing/>
    </w:pPr>
  </w:style>
  <w:style w:type="paragraph" w:styleId="Header">
    <w:name w:val="header"/>
    <w:basedOn w:val="Normal"/>
    <w:link w:val="HeaderChar"/>
    <w:uiPriority w:val="99"/>
    <w:unhideWhenUsed/>
    <w:rsid w:val="00D11729"/>
    <w:pPr>
      <w:tabs>
        <w:tab w:val="center" w:pos="4680"/>
        <w:tab w:val="right" w:pos="9360"/>
      </w:tabs>
    </w:pPr>
    <w:rPr>
      <w:rFonts w:ascii="Calibri" w:hAnsi="Calibri"/>
      <w:b w:val="0"/>
      <w:sz w:val="22"/>
      <w:szCs w:val="22"/>
    </w:rPr>
  </w:style>
  <w:style w:type="character" w:customStyle="1" w:styleId="HeaderChar">
    <w:name w:val="Header Char"/>
    <w:basedOn w:val="DefaultParagraphFont"/>
    <w:link w:val="Header"/>
    <w:uiPriority w:val="99"/>
    <w:rsid w:val="00D11729"/>
    <w:rPr>
      <w:rFonts w:ascii="Calibri" w:eastAsia="Times New Roman" w:hAnsi="Calibri" w:cs="Times New Roman"/>
      <w:lang w:val="hu-HU"/>
    </w:rPr>
  </w:style>
  <w:style w:type="paragraph" w:styleId="Footer">
    <w:name w:val="footer"/>
    <w:basedOn w:val="Normal"/>
    <w:link w:val="FooterChar"/>
    <w:uiPriority w:val="99"/>
    <w:unhideWhenUsed/>
    <w:rsid w:val="00D11729"/>
    <w:pPr>
      <w:tabs>
        <w:tab w:val="center" w:pos="4680"/>
        <w:tab w:val="right" w:pos="9360"/>
      </w:tabs>
    </w:pPr>
    <w:rPr>
      <w:rFonts w:ascii="Calibri" w:hAnsi="Calibri"/>
      <w:b w:val="0"/>
      <w:sz w:val="22"/>
      <w:szCs w:val="22"/>
    </w:rPr>
  </w:style>
  <w:style w:type="character" w:customStyle="1" w:styleId="FooterChar">
    <w:name w:val="Footer Char"/>
    <w:basedOn w:val="DefaultParagraphFont"/>
    <w:link w:val="Footer"/>
    <w:uiPriority w:val="99"/>
    <w:rsid w:val="00D11729"/>
    <w:rPr>
      <w:rFonts w:ascii="Calibri" w:eastAsia="Times New Roman" w:hAnsi="Calibri" w:cs="Times New Roman"/>
      <w:lang w:val="hu-HU"/>
    </w:rPr>
  </w:style>
  <w:style w:type="table" w:styleId="TableGrid">
    <w:name w:val="Table Grid"/>
    <w:basedOn w:val="TableNormal"/>
    <w:uiPriority w:val="59"/>
    <w:rsid w:val="00D1172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11729"/>
    <w:rPr>
      <w:rFonts w:ascii="Tahoma" w:hAnsi="Tahoma"/>
      <w:sz w:val="16"/>
      <w:szCs w:val="16"/>
    </w:rPr>
  </w:style>
  <w:style w:type="character" w:customStyle="1" w:styleId="DocumentMapChar">
    <w:name w:val="Document Map Char"/>
    <w:basedOn w:val="DefaultParagraphFont"/>
    <w:link w:val="DocumentMap"/>
    <w:uiPriority w:val="99"/>
    <w:semiHidden/>
    <w:rsid w:val="00D11729"/>
    <w:rPr>
      <w:rFonts w:ascii="Tahoma" w:eastAsia="Times New Roman" w:hAnsi="Tahoma" w:cs="Times New Roman"/>
      <w:b/>
      <w:sz w:val="16"/>
      <w:szCs w:val="16"/>
      <w:lang w:val="hu-HU"/>
    </w:rPr>
  </w:style>
  <w:style w:type="paragraph" w:styleId="Title">
    <w:name w:val="Title"/>
    <w:basedOn w:val="Normal"/>
    <w:next w:val="Normal"/>
    <w:link w:val="TitleChar"/>
    <w:uiPriority w:val="10"/>
    <w:qFormat/>
    <w:rsid w:val="00D11729"/>
    <w:pPr>
      <w:spacing w:before="240" w:after="60"/>
      <w:jc w:val="center"/>
      <w:outlineLvl w:val="0"/>
    </w:pPr>
    <w:rPr>
      <w:rFonts w:ascii="Cambria" w:hAnsi="Cambria"/>
      <w:bCs/>
      <w:kern w:val="28"/>
      <w:sz w:val="32"/>
      <w:szCs w:val="32"/>
    </w:rPr>
  </w:style>
  <w:style w:type="character" w:customStyle="1" w:styleId="TitleChar">
    <w:name w:val="Title Char"/>
    <w:basedOn w:val="DefaultParagraphFont"/>
    <w:link w:val="Title"/>
    <w:uiPriority w:val="10"/>
    <w:rsid w:val="00D11729"/>
    <w:rPr>
      <w:rFonts w:ascii="Cambria" w:eastAsia="Times New Roman" w:hAnsi="Cambria" w:cs="Times New Roman"/>
      <w:b/>
      <w:bCs/>
      <w:kern w:val="28"/>
      <w:sz w:val="32"/>
      <w:szCs w:val="32"/>
      <w:lang w:val="hu-HU"/>
    </w:rPr>
  </w:style>
  <w:style w:type="paragraph" w:customStyle="1" w:styleId="Char">
    <w:name w:val="Char"/>
    <w:basedOn w:val="Normal"/>
    <w:rsid w:val="00D11729"/>
    <w:pPr>
      <w:pageBreakBefore/>
      <w:tabs>
        <w:tab w:val="clear" w:pos="1425"/>
      </w:tabs>
      <w:spacing w:before="100" w:beforeAutospacing="1" w:after="100" w:afterAutospacing="1" w:line="240" w:lineRule="auto"/>
    </w:pPr>
    <w:rPr>
      <w:rFonts w:ascii="Tahoma" w:hAnsi="Tahoma" w:cs="Tahoma"/>
      <w:b w:val="0"/>
      <w:sz w:val="20"/>
      <w:szCs w:val="20"/>
      <w:lang w:val="en-US"/>
    </w:rPr>
  </w:style>
  <w:style w:type="paragraph" w:styleId="BalloonText">
    <w:name w:val="Balloon Text"/>
    <w:basedOn w:val="Normal"/>
    <w:link w:val="BalloonTextChar"/>
    <w:uiPriority w:val="99"/>
    <w:semiHidden/>
    <w:unhideWhenUsed/>
    <w:rsid w:val="00D1172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1729"/>
    <w:rPr>
      <w:rFonts w:ascii="Segoe UI" w:eastAsia="Times New Roman" w:hAnsi="Segoe UI" w:cs="Times New Roman"/>
      <w:b/>
      <w:sz w:val="18"/>
      <w:szCs w:val="18"/>
      <w:lang w:val="hu-HU"/>
    </w:rPr>
  </w:style>
  <w:style w:type="paragraph" w:styleId="FootnoteText">
    <w:name w:val="footnote text"/>
    <w:basedOn w:val="Normal"/>
    <w:link w:val="FootnoteTextChar"/>
    <w:uiPriority w:val="99"/>
    <w:semiHidden/>
    <w:unhideWhenUsed/>
    <w:rsid w:val="00D11729"/>
    <w:rPr>
      <w:sz w:val="20"/>
      <w:szCs w:val="20"/>
    </w:rPr>
  </w:style>
  <w:style w:type="character" w:customStyle="1" w:styleId="FootnoteTextChar">
    <w:name w:val="Footnote Text Char"/>
    <w:basedOn w:val="DefaultParagraphFont"/>
    <w:link w:val="FootnoteText"/>
    <w:uiPriority w:val="99"/>
    <w:semiHidden/>
    <w:rsid w:val="00D11729"/>
    <w:rPr>
      <w:rFonts w:ascii="Times New Roman" w:eastAsia="Times New Roman" w:hAnsi="Times New Roman" w:cs="Times New Roman"/>
      <w:b/>
      <w:sz w:val="20"/>
      <w:szCs w:val="20"/>
      <w:lang w:val="hu-HU"/>
    </w:rPr>
  </w:style>
  <w:style w:type="character" w:styleId="FootnoteReference">
    <w:name w:val="footnote reference"/>
    <w:uiPriority w:val="99"/>
    <w:semiHidden/>
    <w:unhideWhenUsed/>
    <w:rsid w:val="00D11729"/>
    <w:rPr>
      <w:vertAlign w:val="superscript"/>
    </w:rPr>
  </w:style>
  <w:style w:type="paragraph" w:styleId="EndnoteText">
    <w:name w:val="endnote text"/>
    <w:basedOn w:val="Normal"/>
    <w:link w:val="EndnoteTextChar"/>
    <w:uiPriority w:val="99"/>
    <w:semiHidden/>
    <w:unhideWhenUsed/>
    <w:rsid w:val="00D11729"/>
    <w:rPr>
      <w:sz w:val="20"/>
      <w:szCs w:val="20"/>
    </w:rPr>
  </w:style>
  <w:style w:type="character" w:customStyle="1" w:styleId="EndnoteTextChar">
    <w:name w:val="Endnote Text Char"/>
    <w:basedOn w:val="DefaultParagraphFont"/>
    <w:link w:val="EndnoteText"/>
    <w:uiPriority w:val="99"/>
    <w:semiHidden/>
    <w:rsid w:val="00D11729"/>
    <w:rPr>
      <w:rFonts w:ascii="Times New Roman" w:eastAsia="Times New Roman" w:hAnsi="Times New Roman" w:cs="Times New Roman"/>
      <w:b/>
      <w:sz w:val="20"/>
      <w:szCs w:val="20"/>
      <w:lang w:val="hu-HU"/>
    </w:rPr>
  </w:style>
  <w:style w:type="character" w:styleId="EndnoteReference">
    <w:name w:val="endnote reference"/>
    <w:uiPriority w:val="99"/>
    <w:semiHidden/>
    <w:unhideWhenUsed/>
    <w:rsid w:val="00D11729"/>
    <w:rPr>
      <w:vertAlign w:val="superscript"/>
    </w:rPr>
  </w:style>
  <w:style w:type="character" w:styleId="CommentReference">
    <w:name w:val="annotation reference"/>
    <w:uiPriority w:val="99"/>
    <w:semiHidden/>
    <w:unhideWhenUsed/>
    <w:rsid w:val="00D11729"/>
    <w:rPr>
      <w:sz w:val="16"/>
      <w:szCs w:val="16"/>
    </w:rPr>
  </w:style>
  <w:style w:type="paragraph" w:styleId="CommentText">
    <w:name w:val="annotation text"/>
    <w:basedOn w:val="Normal"/>
    <w:link w:val="CommentTextChar"/>
    <w:uiPriority w:val="99"/>
    <w:semiHidden/>
    <w:unhideWhenUsed/>
    <w:rsid w:val="00D11729"/>
    <w:rPr>
      <w:sz w:val="20"/>
      <w:szCs w:val="20"/>
    </w:rPr>
  </w:style>
  <w:style w:type="character" w:customStyle="1" w:styleId="CommentTextChar">
    <w:name w:val="Comment Text Char"/>
    <w:basedOn w:val="DefaultParagraphFont"/>
    <w:link w:val="CommentText"/>
    <w:uiPriority w:val="99"/>
    <w:semiHidden/>
    <w:rsid w:val="00D11729"/>
    <w:rPr>
      <w:rFonts w:ascii="Times New Roman" w:eastAsia="Times New Roman" w:hAnsi="Times New Roman" w:cs="Times New Roman"/>
      <w:b/>
      <w:sz w:val="20"/>
      <w:szCs w:val="20"/>
      <w:lang w:val="hu-HU"/>
    </w:rPr>
  </w:style>
  <w:style w:type="paragraph" w:styleId="CommentSubject">
    <w:name w:val="annotation subject"/>
    <w:basedOn w:val="CommentText"/>
    <w:next w:val="CommentText"/>
    <w:link w:val="CommentSubjectChar"/>
    <w:uiPriority w:val="99"/>
    <w:semiHidden/>
    <w:unhideWhenUsed/>
    <w:rsid w:val="00D11729"/>
    <w:rPr>
      <w:bCs/>
    </w:rPr>
  </w:style>
  <w:style w:type="character" w:customStyle="1" w:styleId="CommentSubjectChar">
    <w:name w:val="Comment Subject Char"/>
    <w:basedOn w:val="CommentTextChar"/>
    <w:link w:val="CommentSubject"/>
    <w:uiPriority w:val="99"/>
    <w:semiHidden/>
    <w:rsid w:val="00D11729"/>
    <w:rPr>
      <w:rFonts w:ascii="Times New Roman" w:eastAsia="Times New Roman" w:hAnsi="Times New Roman" w:cs="Times New Roman"/>
      <w:b/>
      <w:bCs/>
      <w:sz w:val="20"/>
      <w:szCs w:val="20"/>
      <w:lang w:val="hu-HU"/>
    </w:rPr>
  </w:style>
  <w:style w:type="character" w:styleId="Hyperlink">
    <w:name w:val="Hyperlink"/>
    <w:basedOn w:val="DefaultParagraphFont"/>
    <w:uiPriority w:val="99"/>
    <w:semiHidden/>
    <w:unhideWhenUsed/>
    <w:rsid w:val="00D11729"/>
    <w:rPr>
      <w:color w:val="0563C1"/>
      <w:u w:val="single"/>
    </w:rPr>
  </w:style>
  <w:style w:type="character" w:styleId="FollowedHyperlink">
    <w:name w:val="FollowedHyperlink"/>
    <w:basedOn w:val="DefaultParagraphFont"/>
    <w:uiPriority w:val="99"/>
    <w:semiHidden/>
    <w:unhideWhenUsed/>
    <w:rsid w:val="00D11729"/>
    <w:rPr>
      <w:color w:val="954F72"/>
      <w:u w:val="single"/>
    </w:rPr>
  </w:style>
  <w:style w:type="paragraph" w:customStyle="1" w:styleId="msonormal0">
    <w:name w:val="msonormal"/>
    <w:basedOn w:val="Normal"/>
    <w:rsid w:val="00D11729"/>
    <w:pPr>
      <w:tabs>
        <w:tab w:val="clear" w:pos="1425"/>
      </w:tabs>
      <w:spacing w:before="100" w:beforeAutospacing="1" w:after="100" w:afterAutospacing="1" w:line="240" w:lineRule="auto"/>
    </w:pPr>
    <w:rPr>
      <w:b w:val="0"/>
      <w:sz w:val="24"/>
      <w:szCs w:val="24"/>
      <w:lang w:val="en-US"/>
    </w:rPr>
  </w:style>
  <w:style w:type="paragraph" w:customStyle="1" w:styleId="xl65">
    <w:name w:val="xl65"/>
    <w:basedOn w:val="Normal"/>
    <w:rsid w:val="00D11729"/>
    <w:pPr>
      <w:pBdr>
        <w:top w:val="single" w:sz="4" w:space="0" w:color="8EA9DB"/>
        <w:bottom w:val="single" w:sz="4" w:space="0" w:color="8EA9DB"/>
      </w:pBdr>
      <w:shd w:val="clear" w:color="D9E1F2" w:fill="FFFFFF"/>
      <w:tabs>
        <w:tab w:val="clear" w:pos="1425"/>
      </w:tabs>
      <w:spacing w:before="100" w:beforeAutospacing="1" w:after="100" w:afterAutospacing="1" w:line="240" w:lineRule="auto"/>
    </w:pPr>
    <w:rPr>
      <w:b w:val="0"/>
      <w:sz w:val="24"/>
      <w:szCs w:val="24"/>
      <w:lang w:val="en-US"/>
    </w:rPr>
  </w:style>
  <w:style w:type="paragraph" w:customStyle="1" w:styleId="xl66">
    <w:name w:val="xl66"/>
    <w:basedOn w:val="Normal"/>
    <w:rsid w:val="00D11729"/>
    <w:pPr>
      <w:pBdr>
        <w:top w:val="single" w:sz="4" w:space="0" w:color="8EA9DB"/>
        <w:left w:val="single" w:sz="4" w:space="0" w:color="8EA9DB"/>
        <w:bottom w:val="single" w:sz="4" w:space="0" w:color="8EA9DB"/>
      </w:pBdr>
      <w:shd w:val="clear" w:color="D9E1F2" w:fill="FFFFFF"/>
      <w:tabs>
        <w:tab w:val="clear" w:pos="1425"/>
      </w:tabs>
      <w:spacing w:before="100" w:beforeAutospacing="1" w:after="100" w:afterAutospacing="1" w:line="240" w:lineRule="auto"/>
    </w:pPr>
    <w:rPr>
      <w:b w:val="0"/>
      <w:sz w:val="24"/>
      <w:szCs w:val="24"/>
      <w:lang w:val="en-US"/>
    </w:rPr>
  </w:style>
  <w:style w:type="paragraph" w:customStyle="1" w:styleId="xl67">
    <w:name w:val="xl67"/>
    <w:basedOn w:val="Normal"/>
    <w:rsid w:val="00D11729"/>
    <w:pPr>
      <w:pBdr>
        <w:top w:val="single" w:sz="4" w:space="0" w:color="8EA9DB"/>
        <w:bottom w:val="single" w:sz="4" w:space="0" w:color="8EA9DB"/>
        <w:right w:val="single" w:sz="4" w:space="0" w:color="8EA9DB"/>
      </w:pBdr>
      <w:shd w:val="clear" w:color="D9E1F2" w:fill="FFFFFF"/>
      <w:tabs>
        <w:tab w:val="clear" w:pos="1425"/>
      </w:tabs>
      <w:spacing w:before="100" w:beforeAutospacing="1" w:after="100" w:afterAutospacing="1" w:line="240" w:lineRule="auto"/>
    </w:pPr>
    <w:rPr>
      <w:b w:val="0"/>
      <w:sz w:val="24"/>
      <w:szCs w:val="24"/>
      <w:lang w:val="en-US"/>
    </w:rPr>
  </w:style>
  <w:style w:type="paragraph" w:customStyle="1" w:styleId="xl68">
    <w:name w:val="xl68"/>
    <w:basedOn w:val="Normal"/>
    <w:rsid w:val="00D11729"/>
    <w:pPr>
      <w:pBdr>
        <w:top w:val="single" w:sz="4" w:space="0" w:color="8EA9DB"/>
        <w:bottom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69">
    <w:name w:val="xl69"/>
    <w:basedOn w:val="Normal"/>
    <w:rsid w:val="00D11729"/>
    <w:pPr>
      <w:pBdr>
        <w:top w:val="single" w:sz="4" w:space="0" w:color="8EA9DB"/>
        <w:left w:val="single" w:sz="4" w:space="0" w:color="8EA9DB"/>
        <w:bottom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0">
    <w:name w:val="xl70"/>
    <w:basedOn w:val="Normal"/>
    <w:rsid w:val="00D11729"/>
    <w:pPr>
      <w:pBdr>
        <w:top w:val="single" w:sz="4" w:space="0" w:color="8EA9DB"/>
        <w:bottom w:val="single" w:sz="4" w:space="0" w:color="8EA9DB"/>
        <w:right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1">
    <w:name w:val="xl71"/>
    <w:basedOn w:val="Normal"/>
    <w:rsid w:val="00D11729"/>
    <w:pPr>
      <w:pBdr>
        <w:top w:val="single" w:sz="4" w:space="0" w:color="8EA9DB"/>
        <w:bottom w:val="single" w:sz="4" w:space="0" w:color="auto"/>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2">
    <w:name w:val="xl72"/>
    <w:basedOn w:val="Normal"/>
    <w:rsid w:val="00D11729"/>
    <w:pPr>
      <w:pBdr>
        <w:top w:val="single" w:sz="4" w:space="0" w:color="8EA9DB"/>
        <w:left w:val="single" w:sz="4" w:space="0" w:color="8EA9DB"/>
        <w:bottom w:val="single" w:sz="4" w:space="0" w:color="auto"/>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3">
    <w:name w:val="xl73"/>
    <w:basedOn w:val="Normal"/>
    <w:rsid w:val="00D11729"/>
    <w:pPr>
      <w:pBdr>
        <w:top w:val="single" w:sz="4" w:space="0" w:color="8EA9DB"/>
        <w:bottom w:val="single" w:sz="4" w:space="0" w:color="auto"/>
        <w:right w:val="single" w:sz="4" w:space="0" w:color="8EA9DB"/>
      </w:pBdr>
      <w:shd w:val="clear" w:color="000000" w:fill="FFFFFF"/>
      <w:tabs>
        <w:tab w:val="clear" w:pos="1425"/>
      </w:tabs>
      <w:spacing w:before="100" w:beforeAutospacing="1" w:after="100" w:afterAutospacing="1" w:line="240" w:lineRule="auto"/>
    </w:pPr>
    <w:rPr>
      <w:b w:val="0"/>
      <w:sz w:val="24"/>
      <w:szCs w:val="24"/>
      <w:lang w:val="en-US"/>
    </w:rPr>
  </w:style>
  <w:style w:type="paragraph" w:customStyle="1" w:styleId="xl74">
    <w:name w:val="xl74"/>
    <w:basedOn w:val="Normal"/>
    <w:rsid w:val="00D11729"/>
    <w:pPr>
      <w:tabs>
        <w:tab w:val="clear" w:pos="1425"/>
      </w:tabs>
      <w:spacing w:before="100" w:beforeAutospacing="1" w:after="100" w:afterAutospacing="1" w:line="240" w:lineRule="auto"/>
    </w:pPr>
    <w:rPr>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Xuan Phuong</cp:lastModifiedBy>
  <cp:revision>2</cp:revision>
  <dcterms:created xsi:type="dcterms:W3CDTF">2021-05-29T05:43:00Z</dcterms:created>
  <dcterms:modified xsi:type="dcterms:W3CDTF">2021-05-29T05:43:00Z</dcterms:modified>
</cp:coreProperties>
</file>