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4F9" w:rsidRDefault="008E3802">
      <w:r>
        <w:rPr>
          <w:rStyle w:val="fontstyle01"/>
        </w:rPr>
        <w:t>MỘT SỐ GIẢI PHÁP GÓP PHẦN ĐỔI MỚI,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NÂNG CAO CHẤT LƯỢNG GIẢNG DẠY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LÝ LUẬN CHÍNH TRỊ THEO TINH THẦN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NGHỊ QUYẾT ĐẠI HỘI XIV CỦA ĐẢNG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NGUYỄN THỊ HOÀI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000000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Giảng dạy lý luận chính trị có vai trò đặc biệt quan trọng trong việc trang bị thế giới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quan khoa học, phương pháp luận cách mạng, bồi dưỡng lý tưởng, niềm tin, bản lĩnh chính trị và năng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lực tư duy cho người học. Xuất phát từ vai trò của giảng dạy lý luận chính trị và những yêu cầu đặt ra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của sự nghiệp xây dựng và bảo vệ Tổ quốc trong kỷ nguyên mới, bài viết tập trung đề xuất những giải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pháp cơ bản nhằm đổi mới, nâng cao chất lượng giảng dạy lý luận chính trị theo tinh thần nghị quyết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Đại hội XIV của Đảng.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Đổi mới; Chất lượng; Giảng dạy; Lý luận chính trị; Đại hội XIV.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The teaching of political theory plays a particularly important role in equipping learners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with a scientific worldview and revolutionary methodology, while fostering their ideals, convictions,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political mettle, and capacity for critical thinking. Starting from this role and from the requirements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set by the cause of national construction and defense in the new era, the article focuses on proposing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fundamental solutions to renovate and improve the quality of political theory teaching in the spirit of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the Resolution of the 14th Party Congress.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Renovation; Quality; Teaching; Political theory; 14th Party Congress</w:t>
      </w:r>
      <w:r>
        <w:t xml:space="preserve"> </w:t>
      </w:r>
    </w:p>
    <w:p w:rsidR="008E3802" w:rsidRDefault="008E3802">
      <w:r>
        <w:rPr>
          <w:rStyle w:val="fontstyle01"/>
        </w:rPr>
        <w:t>XÂY DỰNG ĐỘI NGŨ GIẢNG VIÊN LÝ LUẬN CHÍNH TRỊ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TẠI CÁC TRƯỜNG ĐẠI HỌC ĐÁP ỨNG YÊU CẦU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TỪ NGHỊ QUYẾT SỐ 71-NQ/TW VỀ ĐỘT PHÁ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PHÁT TRIỂN GIÁO DỤC VÀ ĐÀO TẠO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NGUYỄN THỊ HIỀN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000000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Bài viết phân tích thực trạng đội ngũ giảng viên lý luận chính trị tại các trường đại học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hiện nay, làm rõ những kết quả đạt được, hạn chế và yêu cầu mới đặt ra từ Nghị quyết số 71-NQ/TW về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đột phá phát triển giáo dục và đào tạo. Trên cơ sở đó, bài viết đề xuất một số giải pháp trọng tâm, gồm: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xây dựng kế hoạch phát triển đội ngũ; nâng cao chất lượng đào tạo, bồi dưỡng chuyên môn và năng lực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thực tiễn; tăng cường năng lực số, khả năng thích ứng và phẩm chất toàn diện; đồng thời hoàn thiện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môi trường làm việc và chính sách đãi ngộ. Việc thực hiện đồng bộ các giải pháp này có ý nghĩa quan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trọng đối với nâng cao chất lượng giáo dục lý luận chính trị, góp phần bảo vệ nền tảng tư tưởng của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Đảng và đáp ứng yêu cầu phát triển giáo dục đại học trong giai đoạn mới.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Giảng viên lý luận chính trị; Nghị quyết số 71-NQ/TW; chuyển đổi số; giáo dục đại học;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phát triển đội ngũ.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This article examines the current state of political theory lecturers at Vietnamese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universities, highlighting their achievements, existing limitations, and the new requirements arising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from Resolution No. 71-NQ/TW on breakthroughs in education and training development. On this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basis, the article proposes several key measures, including developing strategic plans for the teaching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workforce; improving the quality of professional training and continuing development; strengthening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lecturers’ practical competence, digital capabilities, adaptability, and comprehensive professional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qualities; and enhancing the working environment and remuneration policies. The coordinated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implementation of these measures is essential to improving the quality of political theory education,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contributing to the protection of the Communist Party of Vietnam’s ideological foundation, and meeting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the evolving demands of higher education development in the new context.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Political theory lecturers; higher education; Resolution No. 71-NQ/TW; digital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transformation; faculty development.</w:t>
      </w:r>
      <w:r>
        <w:t xml:space="preserve"> </w:t>
      </w:r>
    </w:p>
    <w:p w:rsidR="008E3802" w:rsidRDefault="008E3802">
      <w:r>
        <w:rPr>
          <w:rStyle w:val="fontstyle01"/>
        </w:rPr>
        <w:t>KHUNG ESG VÀ GÓI CHÍNH SÁCH ĐỒNG BỘ CHO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PHÁT TRIỂN BỀN VỮNG THỊ TRƯỜNG BẤT ĐỘNG SẢN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TRONG NỀN KINH TẾ THỊ TRƯỜNG ĐỊNH HƯỚNG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lastRenderedPageBreak/>
        <w:t>XÃ HỘI CHỦ NGHĨA Ở VIỆT NAM: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TIẾP CẬN QUẢN TRỊ THỊ TRƯỜNG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LÊ PHƯỚC MINH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000000"/>
          <w:sz w:val="14"/>
          <w:szCs w:val="14"/>
        </w:rPr>
        <w:br/>
      </w:r>
      <w:r>
        <w:rPr>
          <w:rStyle w:val="fontstyle21"/>
        </w:rPr>
        <w:t>NGUYỄN TOÀN THẮNG</w:t>
      </w:r>
      <w:r>
        <w:rPr>
          <w:rStyle w:val="fontstyle21"/>
          <w:sz w:val="14"/>
          <w:szCs w:val="14"/>
        </w:rPr>
        <w:t>**</w:t>
      </w:r>
      <w:r>
        <w:rPr>
          <w:rFonts w:ascii="UTM-Centur" w:hAnsi="UTM-Centur"/>
          <w:color w:val="000000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Phát triển bền vững thị trường bất động sản là yêu cầu cấp thiết trong bối cảnh chuyển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đổi xanh và hoàn thiện thể chế kinh tế thị trường định hướng xã hội chủ nghĩa ở Việt Nam. Bài viết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phân tích cơ sở lý luận về ESG, đánh giá thực trạng thị trường bất động sản Việt Nam và đề xuất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Khung quản trị thị trường dựa trên ESG (ESG-based Market Governance Framework) cùng gói chính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sách đồng bộ theo cách tiếp cận quản trị thị trường. Nghiên cứu sử dụng phương pháp định tính, kết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hợp phân tích tài liệu, phân tích chính sách và phân tích thể chế. Kết quả nghiên cứu góp phần mở rộng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phạm vi vận dụng ESG từ cấp độ doanh nghiệp sang cấp độ thị trường, đồng thời đề xuất các nhóm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chính sách về thể chế, quy hoạch, đất đai, tài chính xanh, chuyển đổi số và minh bạch thông tin nhằm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thúc đẩy phát triển bền vững thị trường bất động sản ở Việt Nam.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ESG; quản trị thị trường; phát triển bền vững; thị trường bất động sản; Việt Nam.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Vietnam’s real estate market faces persistent structural challenges in spatial planning,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information systems, credit policy, and financial mechanisms, contributing to market volatility and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 xml:space="preserve">limiting housing accessibility. In response, this study proposes the </w:t>
      </w:r>
      <w:r>
        <w:rPr>
          <w:rStyle w:val="fontstyle01"/>
          <w:sz w:val="20"/>
          <w:szCs w:val="20"/>
        </w:rPr>
        <w:t xml:space="preserve">ESSG framework </w:t>
      </w:r>
      <w:r>
        <w:rPr>
          <w:rStyle w:val="fontstyle41"/>
        </w:rPr>
        <w:t>(Economic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Efficiency - Social Welfare - Sustainable Development - Governance) to reconcile market dynamics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with broader development objectives within Vietnam’s socialist-oriented market economy. The ESSG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framework extends the conventional ESG paradigm by explicitly incorporating spatial planning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and social welfare as core policy pillars. The paper further proposes an integrated policy package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comprising spatial planning, transit-oriented development (TOD), tiered credit mechanisms,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progressive taxation, digital land governance, and institutional reforms. The findings indicate that the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ESSG framework provides a feasible policy approach for stabilizing the real estate market, improving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housing accessibility, enhancing the efficient allocation of land resources, and promoting long-term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sustainable urban development.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Real estate market; ESSG framework; economic efficiency; social equity; sustainable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development; governance; socialist-oriented market economy</w:t>
      </w:r>
      <w:r>
        <w:t xml:space="preserve"> </w:t>
      </w:r>
    </w:p>
    <w:p w:rsidR="008E3802" w:rsidRDefault="008E3802">
      <w:r>
        <w:rPr>
          <w:rStyle w:val="fontstyle01"/>
        </w:rPr>
        <w:t>KHÁI NIỆM, ĐẶC TRƯNG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VÀ CÁC LOẠI HÌNH NGHỀ LUẬT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VÕ KHÁNH LINH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000000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Nghề luật là một nghề cao quý, có trách nhiệm xã hội lớn và có gắn bó mật thiết với việc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xây dựng, bảo vệ pháp luật, bảo vệ quyền con người, tuy nhiên trong thực tế vẫn còn nhiều quan điểm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khác nhau về việc xác định các loại hình nghề luật. Xác định rõ các loại hình nghề luật là căn cứ khoa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học và thực tiễn cho việc đào tạo, tạo nguồn cho nhân lực pháp luật phục vụ xây dựng Nhà nước pháp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quyền xã hội chủ nghĩa Việt Nam. Bài viết tập trung phân tích các đặc trưng của nghề luật, từ đó phân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nhóm các nghề luật điển hình ở Việt Nam</w:t>
      </w:r>
      <w:r>
        <w:rPr>
          <w:rStyle w:val="fontstyle41"/>
          <w:sz w:val="12"/>
          <w:szCs w:val="12"/>
        </w:rPr>
        <w:t>1</w:t>
      </w:r>
      <w:r>
        <w:rPr>
          <w:rStyle w:val="fontstyle41"/>
        </w:rPr>
        <w:t>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Nghề luật; nhân lực pháp luật.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The legal profession is a noble profession bearing great social responsibility and closely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bound up with the making and enforcement of law and the protection of human rights; in practice,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however, there remain differing views on how to define its various types. Clearly identifying the types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of legal professions provides a scientific and practical basis for training and building a pool of legal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personnel to serve the development of the Vietnamese socialist rule-of-law state. The article focuses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on analysing the characteristics of the legal profession and, on that basis, classifies the typical legal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professions in Vietnam.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Legal profession; legal personnel</w:t>
      </w:r>
      <w:r>
        <w:t xml:space="preserve"> </w:t>
      </w:r>
    </w:p>
    <w:p w:rsidR="008E3802" w:rsidRDefault="008E3802">
      <w:r>
        <w:rPr>
          <w:rStyle w:val="fontstyle01"/>
        </w:rPr>
        <w:t>SỰ KẾ THỪA, PHÁT TRIỂN VỀ CHUYÊN MÔN HÓA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TRONG LUẬT TƯ PHÁP NGƯỜI CHƯA THÀNH NIÊN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SO VỚI VĂN BẢN QUỐC TẾ</w:t>
      </w:r>
      <w:r>
        <w:rPr>
          <w:rStyle w:val="fontstyle01"/>
          <w:sz w:val="20"/>
          <w:szCs w:val="20"/>
        </w:rPr>
        <w:t>*</w:t>
      </w:r>
      <w:r>
        <w:rPr>
          <w:rFonts w:ascii="UTM-CenturBold" w:hAnsi="UTM-CenturBold"/>
          <w:b/>
          <w:bCs/>
          <w:color w:val="000000"/>
          <w:sz w:val="20"/>
          <w:szCs w:val="20"/>
        </w:rPr>
        <w:br/>
      </w:r>
      <w:r>
        <w:rPr>
          <w:rStyle w:val="fontstyle21"/>
        </w:rPr>
        <w:t>CAO THANH THÙY</w:t>
      </w:r>
      <w:r>
        <w:rPr>
          <w:rStyle w:val="fontstyle21"/>
          <w:sz w:val="14"/>
          <w:szCs w:val="14"/>
        </w:rPr>
        <w:t>**</w:t>
      </w:r>
      <w:r>
        <w:rPr>
          <w:rFonts w:ascii="UTM-Centur" w:hAnsi="UTM-Centur"/>
          <w:color w:val="000000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Luật Tư pháp người chưa thành niên năm 2024 (sửa đổi, bổ sung 2025) đã có những sửa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đổi, bổ sung quan trọng về chuyên môn hóa chủ thể có thẩm quyền giải quyết vụ việc, vụ án so với Bộ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lastRenderedPageBreak/>
        <w:t>luật Tố tụng hình sự năm 2015 theo hướng thân thiện, tôn trọng, chi tiết và bảo vệ đầy đủ hơn các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quyền và lợi ích hợp pháp của người chưa thành niên. Bài viết nghiên cứu về những quy định mang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tính kế thừa giữa Luật Tư pháp người chưa thành niên với Bộ luật tố tụng hình sự và mức độ tiệm cận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với hướng dẫn của Liên hợp quốc về quy định chủ thể có thẩm quyền trong quan hệ pháp luật tố tụng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hình sự; đồng thời, nhận diện những điểm khác biệt và phân tích những rào cản pháp lý, mức độ chưa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tương thích giữa pháp luật Việt Nam với văn bản quốc tế, nhằm đưa ra khuyến nghị hoàn thiện pháp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luật để bảo vệ tốt hơn quyền và lợi ích của người chưa thành niên trong tố tụng hình sự.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Chủ thể có thẩm quyền trong tư pháp chưa thành niên; quy định về chuyên môn hóa; nội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luật hóa Công ước quốc tế về Quyền trẻ em.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The 2024 Law on Justice for Minors (amended and supplemented in 2025) has introduced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significant updates regarding the specialization of competent authorities in charge of handling cases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compared to the 2015 Criminal Procedure Code. These changes follow a more child-friendly, respectful,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and detailed approach, providing more comprehensive protection for the legal rights and interests of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minors. This article not only examines the inherited provisions between the 2024 Law and the 2015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Code, as well as their alignment with United Nations guidelines on competent authorities in criminal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proceedings, but also identifies differences and analyzes legal barriers and inconsistencies between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Vietnamese criminal law and international instruments . Based on this analysis, the article offers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recommendations for legal improvement to better protect the rights and interests of minors within the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criminal justice system.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Competent authorities in juvenile justice; regulations on specialization; domesticating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the Convention on the Rights of the Child.</w:t>
      </w:r>
      <w:r>
        <w:t xml:space="preserve"> </w:t>
      </w:r>
    </w:p>
    <w:p w:rsidR="008E3802" w:rsidRDefault="008E3802">
      <w:r>
        <w:rPr>
          <w:rStyle w:val="fontstyle01"/>
        </w:rPr>
        <w:t>CHUYỂN HÓA TỘI PHẠM ĐỐI VỚI MỘT SỐ TỘI DANH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THUỘC NHÓM TỘI XÂM PHẠM SỞ HỮU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ĐẬU ANH KHOA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000000"/>
          <w:sz w:val="14"/>
          <w:szCs w:val="14"/>
        </w:rPr>
        <w:br/>
      </w:r>
      <w:r>
        <w:rPr>
          <w:rStyle w:val="fontstyle21"/>
        </w:rPr>
        <w:t>ĐOÀN TRỌNG CHỈNH</w:t>
      </w:r>
      <w:r>
        <w:rPr>
          <w:rStyle w:val="fontstyle21"/>
          <w:sz w:val="14"/>
          <w:szCs w:val="14"/>
        </w:rPr>
        <w:t>**</w:t>
      </w:r>
      <w:r>
        <w:rPr>
          <w:rFonts w:ascii="UTM-Centur" w:hAnsi="UTM-Centur"/>
          <w:color w:val="000000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Chuyển hóa tội phạm là một hiện tượng pháp lý và xã hội đặc thù, thường xuất hiện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trong thực tiễn xét xử các tội xâm phạm sở hữu, phản ánh sự phức tạp trong diễn biến hành vi phạm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tội. Về bản chất, đây là quá trình mà một hành vi phạm tội ban đầu được khởi phát với dấu hiệu của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một tội danh nhất định, nhưng do điều kiện khách quan, chủ quan hoặc sự biến đổi trong ý chí của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người phạm tội, trong khoảnh khắc mà họ đang thực hiện hành vi phạm tội lại phát triển thành một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tội danh khác có tính chất nghiêm trọng hơn. Trong nhóm tội xâm phạm sở hữu, hiện tượng chuyển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hóa tội phạm diễn ra khá phổ biến và có tính nguy hiểm cao, ở một số tội danh thường gắn liền với sự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thay đổi hành vi thực hiện tội phạm, phương thức thực hiện và mức độ đe dọa đến quyền lợi hợp pháp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của chủ sở hữu, cũng như gây tác động tiêu cực đến tâm lý, trật tự an toàn xã hội. Điều này không chỉ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làm gia tăng khả năng hoàn thành tội phạm một cách triệt để đến cùng mà còn tạo ra những khó khăn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rất lớn khi định tội danh, áp dụng hình phạt đối với người gây ra hành vi phạm tội. Do đó, bài viết này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tập trung phân tích về chuyển hóa tội phạm trong nhóm tội xâm phạm sở hữu, từ đó góp phần làm rõ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cơ sở lý luận, cung cấp nền tảng khoa học cho hoạt động đấu tranh phòng, chống tội phạm và nâng cao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hiệu quả công tác xét xử đối với hiện tượng này.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Chuyển hóa tội phạm; Tội xâm phạm sở hữu; Định tội danh; Phòng, chống tội phạm.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The transformation of criminal conduct is a distinctive legal and social phenomenon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that frequently arises in judicial practice concerning property offences, reflecting the inherent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complexity in the dynamics of criminal behaviour. In substance, this phenomenon refers to a process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whereby conduct initially initiated with the elements of a particular offence, but - owing to objective or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subjective circumstances, or a shift in the offender’s intent - evolves, at the very moment of execution,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into a different offence of a more serious character. Within the category of property offences, such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transformation occurs with notable frequency and entails a high degree of social harm. In certain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offences, it is closely associated with changes in the offender’s purpose of appropriation, the means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and methods of commission, and the level of threat posed to the lawful proprietary interests of the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victim. At the same time, it produces adverse effects on public perceptions of security and on social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order more broadly. This phenomenon not only increases the likelihood that the criminal conduct will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be carried through to completion, but also creates substantial difficulties in charge selection, offence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classification, and sentencing in judicial practice. Accordingly, this article undertakes an analysis of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the transformation of criminal conduct within the group of property offences, with a view to clarifying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its theoretical foundations and providing a sound analytical framework to support crime prevention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and control, as well as to enhance the consistency and effectiveness of judicial decision-making in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lastRenderedPageBreak/>
        <w:t>cases involving this phenomenon.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Transformation of Crime Conduct; Property Offences; Offences Classification; Crime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Prevention and Control</w:t>
      </w:r>
      <w:r>
        <w:t xml:space="preserve"> </w:t>
      </w:r>
    </w:p>
    <w:p w:rsidR="008E3802" w:rsidRDefault="008E3802">
      <w:r>
        <w:rPr>
          <w:rStyle w:val="fontstyle01"/>
        </w:rPr>
        <w:t>KHOẢNG TRỐNG PHÁP LÝ VÀ THỰC TIỄN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THỰC THI VỀ QUYỀN TỰ DO HÀNH NGHỀ ĐỘC LẬP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CỦA NGƯỜI NƯỚC NGOÀI TẠI VIỆT NAM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NGUYỄN LINH PHƯỢNG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000000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Hiệp định Thương mại tự do song phương, đa phương mà Việt Nam đã ký kết cho phép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chuyên gia hành nghề độc lập được hiện diện tạm thời, cung cấp dịch vụ trong một số lĩnh vực tại Việt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Nam theo phạm vi cam kết. Tuy nhiên, hệ thống quản lý lao động và xuất nhập cảnh hiện tại chủ yếu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quy định cho người có cơ quan bảo lãnh hoặc có quan hệ làm thuê, điều này vô tình cản trở quyền tự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do kinh doanh và cung cấp dịch vụ của nguồn nhân lực tri thức chất lượng cao này. Bài viết đề xuất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chuyển nguyên tắc quản lý từ bảo lãnh, tuyển dụng sang dịch vụ, năng lực bằng cách định danh tư cách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trong hệ thống thủ tục, thiết kế cơ chế liên thông cư trú, lao động, cung cấp dịch vụ, và thí điểm vận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hành theo cơ chế đặc thù, gắn quản trị rủi ro nghề nghiệp nhằm thu hút nguồn nhân lực nước ngoài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đóng góp cho sự phát triển chung của nền kinh tế.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CPTPP, EVFTA, người nước ngoài, hành nghề độc lập, tự do kinh doanh, chính sách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nhân lực.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Bilateral and multilateral free trade agreements concluded by Viet Nam allow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independent professionals to obtain temporary entry and stay to supply services in Viet Nam in certain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sectors, within the scope of the relevant commitments. However, the current labour-management and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immigration regime is largely structured around foreign nationals who have a sponsoring entity or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are engaged in an employer-employee relationship. This institutional design inadvertently constrains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the freedom to conduct business and provide services of this high-quality knowledge workforce. The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article proposes a shift in the regulatory approach from sponsorship and recruitment to a serviceand competency-based model by (i) formally recognising the legal status of independent professionals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within administrative procedures, (ii) designing an interoperable framework linking immigration/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residence, labour compliance, and cross-border service provision, and (iii) piloting a special regulatory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mechanism coupled with professional risk governance to attract foreign talent and enhance their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contribution to the economy’s overall development.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CPTPP, EVFTA, foreign nationals; independent practice; freedom to conduct business;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human resource policy</w:t>
      </w:r>
      <w:r>
        <w:t xml:space="preserve"> </w:t>
      </w:r>
    </w:p>
    <w:p w:rsidR="00A44861" w:rsidRDefault="00A44861">
      <w:r>
        <w:rPr>
          <w:rStyle w:val="fontstyle01"/>
        </w:rPr>
        <w:t>ĐỊNH DANH “SẢN PHẨM TRÍ TUỆ NHÂN TẠO”: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NỀN TẢNG PHÁP LÝ BẢO VỆ QUYỀN LỢI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01"/>
        </w:rPr>
        <w:t>NGƯỜI TIÊU DÙNG</w:t>
      </w:r>
      <w:r>
        <w:rPr>
          <w:rFonts w:ascii="UTM-CenturBold" w:hAnsi="UTM-CenturBold"/>
          <w:b/>
          <w:bCs/>
          <w:color w:val="000000"/>
          <w:sz w:val="32"/>
          <w:szCs w:val="32"/>
        </w:rPr>
        <w:br/>
      </w:r>
      <w:r>
        <w:rPr>
          <w:rStyle w:val="fontstyle21"/>
        </w:rPr>
        <w:t>VĂN THỊ HỒNG NHUNG</w:t>
      </w:r>
      <w:r>
        <w:rPr>
          <w:rStyle w:val="fontstyle21"/>
          <w:sz w:val="14"/>
          <w:szCs w:val="14"/>
        </w:rPr>
        <w:t>*</w:t>
      </w:r>
      <w:r>
        <w:rPr>
          <w:rFonts w:ascii="UTM-Centur" w:hAnsi="UTM-Centur"/>
          <w:color w:val="000000"/>
          <w:sz w:val="14"/>
          <w:szCs w:val="14"/>
        </w:rPr>
        <w:br/>
      </w:r>
      <w:r>
        <w:rPr>
          <w:rStyle w:val="fontstyle31"/>
        </w:rPr>
        <w:t xml:space="preserve">Tóm tắt: </w:t>
      </w:r>
      <w:r>
        <w:rPr>
          <w:rStyle w:val="fontstyle41"/>
        </w:rPr>
        <w:t>Bài viết phân tích khoảng trống pháp lý khi áp dụng trách nhiệm sản phẩm đối với sản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phẩm AI trong bối cảnh pháp luật Việt Nam chưa có định danh thống nhất. Trên cơ sở nhận diện đặc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tính tự chủ, tự học, khó giải thích và rủi ro lan tỏa, bài viết đề xuất khái niệm “sản phẩm trí tuệ nhân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tạo”, phân loại sản phẩm AI độc lập, tích hợp và kiến nghị bổ sung khái niệm này vào văn bản hướng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dẫn Luật Trí tuệ nhân tạo nhằm bảo vệ người tiêu dùng.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Từ khóa: </w:t>
      </w:r>
      <w:r>
        <w:rPr>
          <w:rStyle w:val="fontstyle41"/>
        </w:rPr>
        <w:t>Định danh sản phẩm trí tuệ nhân tạo; Luật Trí tuệ nhân tạo; Bảo vệ quyền lợi người tiêu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dùng; Trách nhiệm sản phẩm.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Abstract: </w:t>
      </w:r>
      <w:r>
        <w:rPr>
          <w:rStyle w:val="fontstyle41"/>
        </w:rPr>
        <w:t>This article analyses the legal gap that arises when applying product liability to AI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products, given that Vietnamese law has yet to adopt a unified definition of such products. Based on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an identification of their characteristic autonomy, self-learning capacity, lack of explainability, and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propensity for cascading risk, the article proposes the concept of an “artificial intelligence product”,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classifies AI products into standalone and embedded types, and recommends incorporating this concept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into the guiding documents of the Law on Artificial Intelligence in order to protect consumers.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31"/>
        </w:rPr>
        <w:t xml:space="preserve">Keywords: </w:t>
      </w:r>
      <w:r>
        <w:rPr>
          <w:rStyle w:val="fontstyle41"/>
        </w:rPr>
        <w:t>Identification of artificial intelligence products; Law on Artificial Intelligence;</w:t>
      </w:r>
      <w:r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>
        <w:rPr>
          <w:rStyle w:val="fontstyle41"/>
        </w:rPr>
        <w:t>Consumer rights protection; Product liability</w:t>
      </w:r>
      <w:r>
        <w:t xml:space="preserve"> </w:t>
      </w:r>
    </w:p>
    <w:p w:rsidR="002D00F5" w:rsidRDefault="002D00F5"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lastRenderedPageBreak/>
        <w:t>PHÁP LUẬT VỀ GIỚI HẠN TỰ DO HỢP ĐỒNG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  <w:t>ĐỐI VỚI THỎA THUẬN KHÔNG LÔI KÉO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  <w:t>TRONG LAO ĐỘNG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</w:r>
      <w:r w:rsidRPr="002D00F5">
        <w:rPr>
          <w:rFonts w:ascii="UTM-Centur" w:hAnsi="UTM-Centur"/>
          <w:color w:val="000000"/>
          <w:sz w:val="24"/>
          <w:szCs w:val="24"/>
        </w:rPr>
        <w:t>ĐỖ HÀ ANH</w:t>
      </w:r>
      <w:r w:rsidRPr="002D00F5">
        <w:rPr>
          <w:rFonts w:ascii="UTM-Centur" w:hAnsi="UTM-Centur"/>
          <w:color w:val="000000"/>
          <w:sz w:val="14"/>
          <w:szCs w:val="14"/>
        </w:rPr>
        <w:t>*</w:t>
      </w:r>
      <w:r w:rsidRPr="002D00F5">
        <w:rPr>
          <w:rFonts w:ascii="UTM-Centur" w:hAnsi="UTM-Centur"/>
          <w:color w:val="000000"/>
          <w:sz w:val="14"/>
          <w:szCs w:val="14"/>
        </w:rPr>
        <w:br/>
      </w:r>
      <w:r w:rsidRPr="002D00F5">
        <w:rPr>
          <w:rFonts w:ascii="UTM-Centur" w:hAnsi="UTM-Centur"/>
          <w:color w:val="000000"/>
          <w:sz w:val="24"/>
          <w:szCs w:val="24"/>
        </w:rPr>
        <w:t>ĐỖ NGÂN BÌNH</w:t>
      </w:r>
      <w:r w:rsidRPr="002D00F5">
        <w:rPr>
          <w:rFonts w:ascii="UTM-Centur" w:hAnsi="UTM-Centur"/>
          <w:color w:val="000000"/>
          <w:sz w:val="14"/>
          <w:szCs w:val="14"/>
        </w:rPr>
        <w:t>**</w:t>
      </w:r>
      <w:r w:rsidRPr="002D00F5">
        <w:rPr>
          <w:rFonts w:ascii="UTM-Centur" w:hAnsi="UTM-Centur"/>
          <w:color w:val="000000"/>
          <w:sz w:val="14"/>
          <w:szCs w:val="14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Tóm tắt: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Tự do hợp đồng là một trong những nguyên tắc nền tảng của pháp luật dân sự và pháp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luật lao động hiện đại. Tuy nhiên, trong quan hệ lao động (QHLĐ), nguyên tắc này không mang tính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tuyệt đối mà chịu sự giới hạn nhằm bảo vệ bên yếu thế là người lao động (NLĐ) và bảo đảm trật tự,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công bằng của thị trường lao động. Thỏa thuận không lôi kéo trong lao động - với tư cách là một dạng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thỏa thuận hạn chế sau khi chấm dứt QHLĐ - đặt ra nhiều vấn đề pháp lý liên quan đến ranh giới của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tự do hợp đồng. Trên cơ sở kế thừa và phát triển các lập luận lý luận và thực tiễn từ nghiên cứu về thỏa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thuận không lôi kéo trong lao động, bài viết sử dụng phương pháp phân tích - tổng hợp, phương pháp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so sánh pháp luật và phương pháp nghiên cứu án lệ nhằm làm rõ giới hạn của tự do hợp đồng đối với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thỏa thuận không lôi kéo trong lao động và rút ra gợi mở cho pháp luật Việt Nam.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Từ khoá: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Tự do hợp đồng; giới hạn tự do hợp đồng; thỏa thuận không lôi kéo; quan hệ lao động.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Abstract: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Freedom of contract is one of the foundational principles of modern civil law and labour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law. However, within employment relationships, this principle is not absolute but is subject to certain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limitations designed to protect the weaker party - the employee and to ensure order and fairness in the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labour market. Non-solicitation agreements in employment, as a form of post-termination restrictive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covenant, raise a range of legal issues concerning the boundaries of contractual freedom. Building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upon and further developing both theoretical and practical analyses of non-solicitation agreements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in employment, this article employs analytical and synthetic methods, comparative law analysis, and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case-law research to clarify the limits of freedom of contract in relation to such agreements and to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draw implications for the development of Vietnamese labour law.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Keywords: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Freedom of contract; limits of contractual freedom; non-solicitation agreements;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employment relationship</w:t>
      </w:r>
      <w:r w:rsidRPr="002D00F5">
        <w:t xml:space="preserve"> </w:t>
      </w:r>
    </w:p>
    <w:p w:rsidR="002D00F5" w:rsidRDefault="002D00F5"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t>XU HƯỚNG BIẾN ĐỔI HỆ GIÁ TRỊ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  <w:t>CON NGƯỜI VIỆT NAM TRONG GIAI ĐOẠN HIỆN NAY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</w:r>
      <w:r w:rsidRPr="002D00F5">
        <w:rPr>
          <w:rFonts w:ascii="UTM-Centur" w:hAnsi="UTM-Centur"/>
          <w:color w:val="000000"/>
          <w:sz w:val="24"/>
          <w:szCs w:val="24"/>
        </w:rPr>
        <w:t>NGUYỄN THỊ MỸ NHUNG</w:t>
      </w:r>
      <w:r w:rsidRPr="002D00F5">
        <w:rPr>
          <w:rFonts w:ascii="UTM-Centur" w:hAnsi="UTM-Centur"/>
          <w:color w:val="000000"/>
          <w:sz w:val="14"/>
          <w:szCs w:val="14"/>
        </w:rPr>
        <w:t>*</w:t>
      </w:r>
      <w:r w:rsidRPr="002D00F5">
        <w:rPr>
          <w:rFonts w:ascii="UTM-Centur" w:hAnsi="UTM-Centur"/>
          <w:color w:val="000000"/>
          <w:sz w:val="14"/>
          <w:szCs w:val="14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Tóm tắt: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Trong bối cảnh toàn cầu hóa, hội nhập quốc tế sâu rộng, phát triển kinh tế thị trường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định hướng xã hội chủ nghĩa và chuyển đổi số nhanh chóng, hệ giá trị con người Việt Nam đang diễn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ra những biến đổi mạnh mẽ, đa chiều và phức tạp. Bài viết tập trung làm rõ khái niệm hệ giá trị con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người, hệ giá trị con người Việt Nam, đồng thời phân tích những xu hướng biến đổi chủ yếu của hệ giá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trị con người Việt Nam trong giai đoạn hiện nay. Trên cơ sở đó, bài viết chỉ ra những mặt tích cực, hạn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chế và các vấn đề đặt ra trong quá trình biến đổi hệ giá trị; làm rõ ý nghĩa lý luận và thực tiễn của việc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nhận thức đúng xu hướng biến đổi hệ giá trị con người Việt Nam; từ đó đề xuất một số giải pháp nhằm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phát huy các xu hướng biến đổi tích cực và hạn chế các xu hướng biến đổi tiêu cực trong bối cảnh phát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triển mới.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Từ khóa: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Biến đổi giá trị, hệ giá trị con người Việt Nam, giá trị, toàn cầu hóa, xu hướng biến đổi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giá trị.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Abstract: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Amid globalization, deepening international integration, the development of a socialistoriented market economy, and rapid digital transformation, the Vietnamese human value system is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undergoing strong, multidimensional, and complex changes. The article clarifies the concepts of the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human value system in general and the Vietnamese human value system in particular, while analysing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the principal trends of change in the Vietnamese human value system during the current period. On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this basis, the article identifies the positive aspects, limitations, and issues arising in the process of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value transformation; clarifies the theoretical and practical significance of correctly recognising these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trends; and proposes a number of solutions to promote positive trends and curb negative ones in the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context of new development.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Keywords: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Value transformation; Vietnamese human value system; values; globalization; trends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of value transformation</w:t>
      </w:r>
      <w:r w:rsidRPr="002D00F5">
        <w:t xml:space="preserve"> </w:t>
      </w:r>
    </w:p>
    <w:p w:rsidR="002D00F5" w:rsidRDefault="002D00F5"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lastRenderedPageBreak/>
        <w:t>TÁC ĐỘNG CỦA NGƯỜI ẢNH HƯỞNG VI MÔ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  <w:t>ĐẾN NIỀM TIN THƯƠNG HIỆU CỦA THẾ HỆ Z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  <w:t>TẠI HÀ NỘI, VIỆT NAM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</w:r>
      <w:r w:rsidRPr="002D00F5">
        <w:rPr>
          <w:rFonts w:ascii="UTM-Centur" w:hAnsi="UTM-Centur"/>
          <w:color w:val="000000"/>
          <w:sz w:val="24"/>
          <w:szCs w:val="24"/>
        </w:rPr>
        <w:t>NGUYỄN TRỌNG HƯNG</w:t>
      </w:r>
      <w:r w:rsidRPr="002D00F5">
        <w:rPr>
          <w:rFonts w:ascii="UTM-Centur" w:hAnsi="UTM-Centur"/>
          <w:color w:val="000000"/>
          <w:sz w:val="14"/>
          <w:szCs w:val="14"/>
        </w:rPr>
        <w:t>*</w:t>
      </w:r>
      <w:r w:rsidRPr="002D00F5">
        <w:rPr>
          <w:rFonts w:ascii="UTM-Centur" w:hAnsi="UTM-Centur"/>
          <w:color w:val="000000"/>
          <w:sz w:val="14"/>
          <w:szCs w:val="14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Tóm tắt: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Nghiên cứu này đặt mục tiêu là phân tích tác động của các đặc điểm người ảnh hưởng vi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mô đến niềm tin thương hiệu của người tiêu dùng Gen Z tại Hà Nội. Trên cơ sở Lý thuyết độ tin cậy của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nguồn thông tin, mô hình nghiên cứu gồm ba yếu tố: sự hấp dẫn, sự tin cậy và chuyên môn của người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ảnh hưởng vi mô; biến phụ thuộc là niềm tin thương hiệu. Dữ liệu được thu thập bằng bảng hỏi với 412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quan sát hợp lệ và phân tích bằng phương pháp Mô hình phương trình cấu trúc bình phương tối thiểu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riêng phần (PLS-SEM). Kết quả cho thấy cả ba yếu tố đều tác động tích cực và có ý nghĩa thống kê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đến niềm tin thương hiệu. Trong đó, sự tin cậy có ảnh hưởng mạnh nhất, tiếp đến là chuyên môn và sự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hấp dẫn. Phát hiện này bổ sung bằng chứng thực nghiệm cho Lý thuyết độ tin cậy của nguồn thông tin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trong bối cảnh tiếp thị số tại thị trường mới nổi. Đồng thời, nghiên cứu gợi ý doanh nghiệp nên ưu tiên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lựa chọn người ảnh hưởng có tính chân thực, đáng tin cậy và am hiểu lĩnh vực khi triển khai truyền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thông hướng tới khách hàng Gen Z.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Từ khóa: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Người ảnh hưởng vi mô; Niềm tin thương hiệu; Thế hệ Z; Lý thuyết độ tin cậy; PLS-SEM.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Abstract: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This study aims to examine the influence of micro-influencer characteristics on brand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trust among Generation Z consumers in Hanoi. Drawing on Source Credibility Theory, the research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model includes three dimensions of micro-influencer characteristics: attractiveness, trustworthiness,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and expertise, with brand trust as the dependent variable. Data were collected through a questionnaire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survey, yielding 412 valid responses, and were analysed using partial least squares structural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equation modelling (PLS-SEM). The findings show that all three factors have positive and statistically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significant effects on brand trust. Among them, trustworthiness has the strongest effect, followed by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expertise and attractiveness. These findings provide further empirical evidence for Source Credibility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Theory in the context of digital marketing in an emerging market. The study also suggests that firms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should prioritise micro-influencers who are authentic, trustworthy, and knowledgeable in their fields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when designing communication strategies targeting Generation Z consumers.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Keywords: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Micro-influencer; Brand trust; Generation Z; Source Credibility Theory; PLS-SEM</w:t>
      </w:r>
      <w:r w:rsidRPr="002D00F5">
        <w:t xml:space="preserve"> </w:t>
      </w:r>
    </w:p>
    <w:p w:rsidR="002D00F5" w:rsidRDefault="002D00F5"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t>MỘT SỐ YẾU TỐ ẢNH HƯỞNG ĐẾN SINH CON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  <w:t>Ở TUỔI VỊ THÀNH NIÊN DÂN TỘC THIỂU SỐ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  <w:t>XÃ MÙ CANG CHẢI, TỈNH LÀO CAI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</w:r>
      <w:r w:rsidRPr="002D00F5">
        <w:rPr>
          <w:rFonts w:ascii="UTM-Centur" w:hAnsi="UTM-Centur"/>
          <w:color w:val="000000"/>
          <w:sz w:val="24"/>
          <w:szCs w:val="24"/>
        </w:rPr>
        <w:t>NGUYỄN THÚY QUỲNH</w:t>
      </w:r>
      <w:r w:rsidRPr="002D00F5">
        <w:rPr>
          <w:rFonts w:ascii="UTM-Centur" w:hAnsi="UTM-Centur"/>
          <w:color w:val="000000"/>
          <w:sz w:val="14"/>
          <w:szCs w:val="14"/>
        </w:rPr>
        <w:t>*</w:t>
      </w:r>
      <w:r w:rsidRPr="002D00F5">
        <w:rPr>
          <w:rFonts w:ascii="UTM-Centur" w:hAnsi="UTM-Centur"/>
          <w:color w:val="000000"/>
          <w:sz w:val="14"/>
          <w:szCs w:val="14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Tóm tắt: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Sinh con ở tuổi vị thành niên vẫn là vấn đề đáng quan tâm tại khu vực trung du và miền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núi phía Bắc, đặc biệt ở các địa bàn có đông đồng bào dân tộc thiểu số như xã Mù Cang Chải, tỉnh Lào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Cai. Nghiên cứu chỉ ra một số yếu tố ảnh hưởng đến tình trạng này, bao gồm kết hôn sớm, tảo hôn,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mang thai và quan hệ tình dục sớm, cùng với tác động của phong tục, tập quán địa phương. Sinh con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ở tuổi vị thành niên không chỉ ảnh hưởng đến sức khỏe của phụ nữ dân tộc thiểu số mà còn hạn chế cơ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hội học tập, việc làm và quyền ra quyết định trong gia đình. Trên cơ sở đó, bài viết đề xuất tiếp tục đẩy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mạnh các hoạt động truyền thông, can thiệp và thực hiện đồng bộ các chính sách nhằm giảm thiểu tình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trạng sinh con ở tuổi vị thành niên tại địa phương.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Từ khóa: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Mức sinh; vị thành niên; dân tộc thiểu số; Mù Cang Chải; Lào Cai.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Abstract: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Adolescent childbirth remains a matter of concern in the northern midland and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mountainous region, particularly in areas with large ethnic minority populations such as Mù Cang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Chải commune, Lào Cai province. The study identifies a number of factors contributing to this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situation, including early marriage, child marriage, early pregnancy, and early sexual activity,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together with the influence of local customs and practices. Adolescent childbirth not only affects the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health of ethnic minority women but also limits their opportunities for education and employment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and their decision-making power within the family. On this basis, the article proposes continuing to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strengthen communication and intervention activities and implementing policies in a coordinated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manner in order to reduce adolescent childbirth in the locality.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Keywords: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Fertility rate; adolescents; ethnic minorities; Mù Cang Chải; Lào Cai</w:t>
      </w:r>
      <w:r w:rsidRPr="002D00F5">
        <w:t xml:space="preserve"> </w:t>
      </w:r>
    </w:p>
    <w:p w:rsidR="002D00F5" w:rsidRDefault="002D00F5"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lastRenderedPageBreak/>
        <w:t>QUAN HỆ QUỐC TẾ CỦA PHẬT GIÁO VIỆT NAM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  <w:t>VÀ NHỮNG VẤN ĐỀ ĐẶT RA HIỆN NAY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</w:r>
      <w:r w:rsidRPr="002D00F5">
        <w:rPr>
          <w:rFonts w:ascii="UTM-Centur" w:hAnsi="UTM-Centur"/>
          <w:color w:val="000000"/>
          <w:sz w:val="24"/>
          <w:szCs w:val="24"/>
        </w:rPr>
        <w:t>PHẠM THANH HẰNG</w:t>
      </w:r>
      <w:r w:rsidRPr="002D00F5">
        <w:rPr>
          <w:rFonts w:ascii="UTM-Centur" w:hAnsi="UTM-Centur"/>
          <w:color w:val="000000"/>
          <w:sz w:val="14"/>
          <w:szCs w:val="14"/>
        </w:rPr>
        <w:t>*</w:t>
      </w:r>
      <w:r w:rsidRPr="002D00F5">
        <w:rPr>
          <w:rFonts w:ascii="UTM-Centur" w:hAnsi="UTM-Centur"/>
          <w:color w:val="000000"/>
          <w:sz w:val="14"/>
          <w:szCs w:val="14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Tóm tắt: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Trong bối cảnh hội nhập quốc tế, quan hệ quốc tế của Phật giáo Việt Nam ngày càng được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mở rộng thông qua giao lưu, hợp tác với các tổ chức Phật giáo quốc tế và Phật giáo các quốc gia trên thế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giới, góp phần nâng cao vị thế của Phật giáo Việt Nam. Tuy nhiên, quá trình này cũng đặt ra những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vấn đề đáng quan tâm như sự khác biệt về truyền thống và phương thức hành đạo, yêu cầu nâng cao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năng lực đối ngoại tôn giáo cũng như thách thức trong việc dung hòa giữa hội nhập quốc tế và bảo tồn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bản sắc Phật giáo Việt Nam. Bài viết phân tích thực trạng và làm rõ những vấn đề đặt ra hiện nay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nhằm góp phần nâng cao hiệu quả quan hệ quốc tế của Phật giáo Việt Nam trong thời gian tới.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Từ khóa: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Quan hệ quốc tế; Phật giáo; Việt Nam; vấn đề đặt ra.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Abstract: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Amid international integration, the international relations of Vietnamese Buddhism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have been increasingly expanded through exchanges and cooperation with international Buddhist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organizations and Buddhist communities around the world, thereby helping to raise the standing of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Vietnamese Buddhism. However, this process has also given rise to issues of concern, such as differences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in tradition and religious practice, the need to strengthen religious foreign-affairs capacity, and the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challenge of reconciling international integration with the preservation of Vietnamese Buddhist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identity. The article analyses the current situation and clarifies these issues in order to help improve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the effectiveness of Vietnamese Buddhism’s international relations in the coming period.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Keywords: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International relations; Buddhism; Vietnam; issues arising</w:t>
      </w:r>
      <w:r w:rsidRPr="002D00F5">
        <w:t xml:space="preserve"> </w:t>
      </w:r>
    </w:p>
    <w:p w:rsidR="002D00F5" w:rsidRDefault="002D00F5"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t>ĐỐI CHIẾU THỦ PHÁP CHƠI CHỮ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  <w:t>TRONG TIÊU ĐỀ BÁO “NHÂN DÂN ĐIỆN TỬ”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  <w:t>VÀ “TÂN HOA XÃ”</w:t>
      </w:r>
      <w:r w:rsidRPr="002D00F5">
        <w:rPr>
          <w:rFonts w:ascii="UTM-CenturBold" w:hAnsi="UTM-CenturBold"/>
          <w:b/>
          <w:bCs/>
          <w:color w:val="000000"/>
          <w:sz w:val="32"/>
          <w:szCs w:val="32"/>
        </w:rPr>
        <w:br/>
      </w:r>
      <w:r w:rsidRPr="002D00F5">
        <w:rPr>
          <w:rFonts w:ascii="UTM-Centur" w:hAnsi="UTM-Centur"/>
          <w:color w:val="000000"/>
          <w:sz w:val="24"/>
          <w:szCs w:val="24"/>
        </w:rPr>
        <w:t>BÙI THỊ HẬU</w:t>
      </w:r>
      <w:r w:rsidRPr="002D00F5">
        <w:rPr>
          <w:rFonts w:ascii="UTM-Centur" w:hAnsi="UTM-Centur"/>
          <w:color w:val="000000"/>
          <w:sz w:val="14"/>
          <w:szCs w:val="14"/>
        </w:rPr>
        <w:t>*</w:t>
      </w:r>
      <w:r w:rsidRPr="002D00F5">
        <w:rPr>
          <w:rFonts w:ascii="UTM-Centur" w:hAnsi="UTM-Centur"/>
          <w:color w:val="000000"/>
          <w:sz w:val="14"/>
          <w:szCs w:val="14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Tóm tắt: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Nghiên cứu các phép tu từ trong tiêu đề báo chí là một vấn đề không mới, song nghiên cứu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đối chiếu các phép tu từ trong tiêu đề báo chí giữa tiếng Việt và tiếng Hán hiện vẫn còn là địa hạt mới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mẻ, ít được quan tâm nghiên cứu. Từ lý thuyết của tu từ học, bài viết nghiên cứu biện pháp tu từ chơi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chữ trong các tiêu đề báo chí điện tử tiếng Việt và tiếng Hán, thông qua hai nguồn tư liệu báo Nhân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dân điện tử (phiên bản tiếng Việt) và Tân Hoa xã. Thông qua nghiên cứu định lượng và định tính, bài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viết nhằm chỉ rõ sự tương đồng và khác biệt trong cách sử dụng biện pháp tu từ trong tiêu đề báo chí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giữa hai ngôn ngữ, từ đó bước đầu chỉ ra kiểu đặc trưng văn hoá, ngôn ngữ của mỗi cộng đồng bản ngữ.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Từ khoá: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Nhân dân điện tử, Tân Hoa xã, chơi chữ, tiêu đề báo chí, tu từ.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Abtracts: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Studying rhetorical devices in newspaper headlines is not a new topic, but comparative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research on rhetorical devices in newspaper headlines between Vietnamese and Chinese is still a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novel area that has received little attention. Based on rhetorical theory, this article studies wordplay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rhetorical devices in Vietnamese and Chinese online newspaper headlines, using two sources: the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online edition of Nhan Dan Newspaper - People’s daily (Vietnamese version) and Xinhua News Agency.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Through quantitative and qualitative research, this research aims to highlight the similarities and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differences in the use of rhetorical devices in newspaper headlines between the two languages, thereby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  <w:t>initially identifying the cultural and linguistic characteristics of each native-speaking community.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br/>
      </w:r>
      <w:r w:rsidRPr="002D00F5">
        <w:rPr>
          <w:rFonts w:ascii="UTMCentur-BoldItalic" w:hAnsi="UTMCentur-BoldItalic"/>
          <w:b/>
          <w:bCs/>
          <w:i/>
          <w:iCs/>
          <w:color w:val="000000"/>
          <w:sz w:val="20"/>
          <w:szCs w:val="20"/>
        </w:rPr>
        <w:t xml:space="preserve">Keywords: </w:t>
      </w:r>
      <w:r w:rsidRPr="002D00F5">
        <w:rPr>
          <w:rFonts w:ascii="UTMCentur-Italic" w:hAnsi="UTMCentur-Italic"/>
          <w:i/>
          <w:iCs/>
          <w:color w:val="000000"/>
          <w:sz w:val="20"/>
          <w:szCs w:val="20"/>
        </w:rPr>
        <w:t>People’s Daily, Xinhua News Agency, wordplay, newspaper headline, rhetoric</w:t>
      </w:r>
      <w:r w:rsidRPr="002D00F5">
        <w:t xml:space="preserve"> </w:t>
      </w:r>
    </w:p>
    <w:p w:rsidR="002D00F5" w:rsidRDefault="002D00F5">
      <w:bookmarkStart w:id="0" w:name="_GoBack"/>
      <w:bookmarkEnd w:id="0"/>
    </w:p>
    <w:sectPr w:rsidR="002D00F5" w:rsidSect="00B44F2E">
      <w:pgSz w:w="11907" w:h="16840" w:code="9"/>
      <w:pgMar w:top="1134" w:right="1134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TM-CenturBold">
    <w:altName w:val="Times New Roman"/>
    <w:panose1 w:val="00000000000000000000"/>
    <w:charset w:val="00"/>
    <w:family w:val="roman"/>
    <w:notTrueType/>
    <w:pitch w:val="default"/>
  </w:font>
  <w:font w:name="UTM-Centur">
    <w:altName w:val="Times New Roman"/>
    <w:panose1 w:val="00000000000000000000"/>
    <w:charset w:val="00"/>
    <w:family w:val="roman"/>
    <w:notTrueType/>
    <w:pitch w:val="default"/>
  </w:font>
  <w:font w:name="UTMCentur-BoldItalic">
    <w:altName w:val="Times New Roman"/>
    <w:panose1 w:val="00000000000000000000"/>
    <w:charset w:val="00"/>
    <w:family w:val="roman"/>
    <w:notTrueType/>
    <w:pitch w:val="default"/>
  </w:font>
  <w:font w:name="UTMCentur-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3BC"/>
    <w:rsid w:val="002D00F5"/>
    <w:rsid w:val="008714F9"/>
    <w:rsid w:val="008C13BC"/>
    <w:rsid w:val="008E3802"/>
    <w:rsid w:val="00A44861"/>
    <w:rsid w:val="00B4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B6CD59-56A4-4566-8D59-FA757668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E3802"/>
    <w:rPr>
      <w:rFonts w:ascii="UTM-CenturBold" w:hAnsi="UTM-CenturBold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8E3802"/>
    <w:rPr>
      <w:rFonts w:ascii="UTM-Centur" w:hAnsi="UTM-Centu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8E3802"/>
    <w:rPr>
      <w:rFonts w:ascii="UTMCentur-BoldItalic" w:hAnsi="UTMCentur-BoldItalic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DefaultParagraphFont"/>
    <w:rsid w:val="008E3802"/>
    <w:rPr>
      <w:rFonts w:ascii="UTMCentur-Italic" w:hAnsi="UTMCentur-Italic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4219</Words>
  <Characters>24049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THUVIEN13</dc:creator>
  <cp:keywords/>
  <dc:description/>
  <cp:lastModifiedBy>THUVIEN13</cp:lastModifiedBy>
  <cp:revision>4</cp:revision>
  <dcterms:created xsi:type="dcterms:W3CDTF">2026-07-29T04:32:00Z</dcterms:created>
  <dcterms:modified xsi:type="dcterms:W3CDTF">2026-07-30T00:49:00Z</dcterms:modified>
</cp:coreProperties>
</file>