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799" w:rsidRDefault="004D1BD1">
      <w:r>
        <w:rPr>
          <w:rStyle w:val="fontstyle01"/>
        </w:rPr>
        <w:t>TỪ CÁC QUAN NIỆM VỀ GIÁ TRỊ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GỢI MỞ CÁCH HIỂU GIÁ TRỊ PHÁP QUYỀN</w:t>
      </w:r>
      <w:r>
        <w:rPr>
          <w:rStyle w:val="fontstyle01"/>
          <w:sz w:val="20"/>
          <w:szCs w:val="20"/>
        </w:rPr>
        <w:t>1</w:t>
      </w:r>
      <w:r>
        <w:rPr>
          <w:rFonts w:ascii="UTM-CenturBold" w:hAnsi="UTM-CenturBold"/>
          <w:b/>
          <w:bCs/>
          <w:color w:val="242021"/>
          <w:sz w:val="20"/>
          <w:szCs w:val="20"/>
        </w:rPr>
        <w:br/>
      </w:r>
      <w:r>
        <w:rPr>
          <w:rStyle w:val="fontstyle21"/>
        </w:rPr>
        <w:t>NGUYỄN ĐỨC MINH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không nhằm xây dựng một lý thuyết đầy đủ về giá trị pháp quyền, mà tập trung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hệ thống hóa một số quan niệm chủ yếu về giá trị từ cách tiếp cận liên ngành; trên cơ sở đó, chọn lọc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những điểm chung hợp lý, có ý nghĩa phương pháp luận, làm tiền đề cho việc nhận diện, phân tích và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bước đầu đề xuất cách hiểu về giá trị pháp quyền.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khoá: </w:t>
      </w:r>
      <w:r>
        <w:rPr>
          <w:rStyle w:val="fontstyle41"/>
        </w:rPr>
        <w:t>Giá trị; giá trị pháp quyền; cách hiểu giá trị pháp quyền.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article does not seek to develop a comprehensive theory of rule-of-law value.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Rather, it systematizes several major conceptions of value from an interdisciplinary perspective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and, on that basis, identifies and selects reasonable common elements of methodological significance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as a foundation for recognizing and analyzing rule-of-law value and for proposing a preliminary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understanding of the concept.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Value; rule-of-law value; understanding of rule-of-law value</w:t>
      </w:r>
      <w:r>
        <w:t xml:space="preserve"> </w:t>
      </w:r>
    </w:p>
    <w:p w:rsidR="004D1BD1" w:rsidRDefault="004D1BD1">
      <w:r>
        <w:rPr>
          <w:rStyle w:val="fontstyle01"/>
        </w:rPr>
        <w:t>HOÀN THIỆN PHÁP LUẬT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VỀ QUẢN TRỊ ĐỊA PHƯƠNG TRONG BỐI CẢNH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CHÍNH QUYỀN ĐỊA PHƯƠNG 02 CẤP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PHẠM THỊ THÚY NGA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phân tích yêu cầu hoàn thiện pháp luật về quản trị địa phương trong bối cảnh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vận hành mô hình chính quyền địa phương (CQĐP) 02 cấp ở Việt Nam hiện nay. Từ góc độ luật học,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quản trị địa phương trực tiếp thể hiện mối quan hệ giữa Đảng lãnh đạo, Nhà nước quản lý và Nhân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dân làm chủ. Chất lượng pháp luật và hiệu quả vận hành CQĐP, nhất là cấp xã, có tác động trực tiếp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đến niềm tin chính trị, sự đồng thuận xã hội và tạo cơ sở thực tiễn để nhận diện, khắc phục và phản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bác các nhận định sai lệch về dân chủ, pháp quyền, phân quyền và hiệu quả quản lý nhà nước. Trên cơ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sở nhận diện các yêu cầu mới về phân cấp, phân quyền, phân định thẩm quyền, trách nhiệm giải trình,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dân chủ cơ sở, chuyển đổi số và năng lực thực thi, bài viết đề xuất một số định hướng hoàn thiện pháp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luật nhằm bảo đảm CQĐP 02 cấp vận hành hiệu lực, hiệu quả, phục vụ Nhân dân.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Quản trị địa phương; chính quyền địa phương 02 cấp; pháp luật về chính quyền địa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phương; bảo vệ nền tảng tư tưởng của Đảng.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article analyzes the need to improve the law on local governance in the context of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current operation of the two-tier local government model in Vietnam. From a legal perspective,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local governance directly reflects the relationship between the Party’s leadership, the State’s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management, and the People’s mastery. The quality of law and the effectiveness of local government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operation, especially at the commune level, have a direct impact on political trust and social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consensus, and provide a practical basis for identifying, addressing, and countering misleading claims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about democracy, the rule of law, decentralization, and the effectiveness of state administration. By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identifying new requirements relating to decentralization, devolution, the delineation of authority,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accountability, grassroots democracy, digital transformation, and implementation capacity, the article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proposes several orientations for legal reform aimed at ensuring that the two-tier local government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model operates effectively and efficiently and better serves the people.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Local governance; two-tier local government; law on local government; protection of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Party’s ideological foundation.</w:t>
      </w:r>
      <w:r>
        <w:t xml:space="preserve"> </w:t>
      </w:r>
    </w:p>
    <w:p w:rsidR="004D1BD1" w:rsidRDefault="004D1BD1">
      <w:r>
        <w:rPr>
          <w:rStyle w:val="fontstyle01"/>
        </w:rPr>
        <w:t>BẢO VỆ DỮ LIỆU CÁ NHÂN TẠI VIỆT NAM: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KHOẢNG TRỐNG THỰC THI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VÀ GIẢI PHÁP THIẾT CHẾ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ĐINH THỊ MAI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Trong nền kinh tế số, dữ liệu cá nhân được ví như “nguồn dầu mỏ mới, mang lại giá trị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thương mại khổng lồ nhưng cũng đặt ra những rủi ro chưa từng có về quyền riêng tư. Tình trạng rò rỉ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thông tin cá nhân tại Việt Nam đang ở mức báo động với hàng trăm triệu bản ghi bị lộ lọt. Sự ra đời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của Luật Bảo vệ dữ liệu cá nhân năm 2025 đánh dấu bước ngoặt lịch sử trong tư duy lập pháp, chuyển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từ việc bảo vệ quyền riêng tư thụ động sang trao quyền tự quyết thông tin cho công dân. Tuy nhiên, bài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viết lập luận rằng một hành lang pháp lý dù hoàn thiện đến đâu cũng sẽ trở nên vô hiệu nếu thiếu vắng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lastRenderedPageBreak/>
        <w:t>một thiết chế quản lý và giám sát độc lập, chuyên trách. Bằng phương pháp phân tích, tổng hợp và luật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so sánh với các hệ thống pháp luật tiên tiến như GDPR (EU), CCPA (Hoa Kỳ) và PDPA (Singapore),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bài viết đi sâu làm rõ những “khoảng trống” trong thực tiễn giám sát, xử lý vi phạm tại Việt Nam hiện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nay. Từ đó, bài viết đề xuất hệ thống giải pháp toàn diện nhằm bảo đảm Luật Bảo vệ dữ liệu cá nhân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2025 được thực thi một cách thực chất và hiệu quả.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Bảo vệ dữ liệu cá nhân; thiết chế giám sát độc lập; Luật Bảo vệ dữ liệu cá nhân 2025;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Cơ quan bảo vệ dữ liệu (DPA); quyền tự quyết thông tin.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In the digital economy, personal data is likened to “new oil”, bringing immense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commercial value but posing unprecedented risks to privacy. The leakage of personal information in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Vietnam is at an alarming level, with hundreds of millions of records exposed. The enactment of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2025 Personal Data Protection Law marks a historical turning point in legislative thinking, shifting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from passive privacy protection to granting citizens the right to informational self-determination.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However, this article argues that regardless of how comprehensive the legal framework is, it will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become ineffective without an independent and specialized regulatory and supervisory institution.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Using analytical, synthetic, and comparative law methods with advanced legal systems like GDPR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(EU), CCPA (US), and PDPA (Singapore), the article clarifies the “gaps” in the current supervision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enforcement practices in Vietnam. Consequently, the article proposes a comprehensive set of solutions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to ensure the 2025 Personal Data Protection Law is implemented substantially and effectively.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Personal data protection; independent supervisory institution; 2025 Personal Data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Protection Law; Data Protection Authority (DPA); right to informational self-determination</w:t>
      </w:r>
      <w:r>
        <w:t xml:space="preserve"> </w:t>
      </w:r>
    </w:p>
    <w:p w:rsidR="004D1BD1" w:rsidRDefault="004D1BD1">
      <w:r>
        <w:rPr>
          <w:rStyle w:val="fontstyle01"/>
        </w:rPr>
        <w:t>VAI TRÒ, TRÁCH NHIỆM CỦA VIỆN KIỂM SÁT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NHÂN DÂN TRONG PHÒNG NGỪA TỘI PHẠM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TRONG KỶ NGUYÊN PHÁT TRIỂN MỚI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ĐỖ THỊ KIM ĐỊNH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Trong bối cảnh chuyển đổi số và sự phát triển của trí tuệ nhân tạo, phòng ngừa tội phạm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đang chuyển sang mô hình chủ động, dựa trên dữ liệu và dự báo; bài viết phân tích vai trò, trách nhiệm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của Viện kiểm sát nhân dân (VKSND) trong phòng ngừa tội phạm trên cơ sở chức năng thực hành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quyền công tố và kiểm sát hoạt động tư pháp, làm rõ cơ chế phát hiện, cảnh báo và loại trừ nguyên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nhân, điều kiện phạm tội trong các giai đoạn tố tụng hình sự; đồng thời, nhấn mạnh vai trò của công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nghệ số trong nâng cao hiệu quả phòng ngừa, từ đó đề xuất các giải pháp về hoàn thiện pháp luật,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đổi mới phương thức hoạt động, phát triển nguồn nhân lực và tăng cường phối hợp liên ngành; qua đó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khẳng định VKSND là thiết chế trung tâm trong phòng ngừa tội phạm, góp phần xây dựng nền tư pháp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hiện đại và phát triển bền vững.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Phòng ngừa tội phạm; Viện kiểm sát nhân dân; phòng ngừa chủ động.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Amid digital transformation and the advancement of artificial intelligence, crime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prevention is shifting toward a proactive, data-driven, and predictive model. This article analyzes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role and responsibilities of the People’s Procuracy in crime prevention, grounded in its functions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of exercising the power to prosecute and supervising judicial activities, and clarifies the mechanisms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for detecting, warning against, and eliminating the causes and conditions of crime throughout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stages of criminal proceedings. It also highlights the role of digital technology in enhancing prevention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effectiveness, and on that basis proposes solutions for improving the legal framework, renewing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operational methods, developing human resources, and strengthening inter-agency coordination.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Through this, the article affirms that the People’s Procuracy is the central institution in crime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prevention, contributing to the building of a modern judiciary and sustainable development.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Crime prevention; People’s Procuracy; Proactive prevention</w:t>
      </w:r>
      <w:r>
        <w:t xml:space="preserve"> </w:t>
      </w:r>
    </w:p>
    <w:p w:rsidR="004D1BD1" w:rsidRDefault="004D1BD1">
      <w:r>
        <w:rPr>
          <w:rStyle w:val="fontstyle01"/>
        </w:rPr>
        <w:t>MỘT SỐ GIẢI PHÁP NÂNG CAO HIỆU QUẢ GIÁO DỤC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LÝ TƯỞNG CÁCH MẠNG, ĐẠO ĐỨC, LỐI SỐNG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VĂN HÓA CHO THẾ HỆ TRẺ TỈNH NGHỆ AN HIỆN NAY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TRẦN THỊ BÌNH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Trong bối cảnh chuyển đổi số, hội nhập quốc tế và những biến đổi nhanh chóng của môi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trường kinh tế - xã hội, giáo dục lý tưởng cách mạng, đạo đức và lối sống văn hóa cho thế hệ trẻ trở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thành yêu cầu cấp thiết nhằm phát triển nguồn nhân lực chất lượng cao và củng cố nền tảng chính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trị - xã hội. Trên cơ sở phân tích quan điểm của Đảng, tư tưởng Hồ Chí Minh và thực tiễn công tác giáo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lastRenderedPageBreak/>
        <w:t>dục thế hệ trẻ ở tỉnh Nghệ An, bài viết xác định những yêu cầu mới và đề xuất hệ thống giải pháp nâng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cao hiệu quả giáo dục theo hướng đồng bộ và bền vững. Các giải pháp tập trung vào tăng cường vai trò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lãnh đạo của Đảng và hệ thống chính trị; thúc đẩy phát triển kinh tế - xã hội; đổi mới nội dung, phương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pháp và hình thức giáo dục; đẩy mạnh chuyển đổi số; tăng cường phối hợp giữa gia đình, nhà trường và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xã hội; đồng thời phát huy tính chủ động, tự giác của thế hệ trẻ. Kết quả nghiên cứu góp phần bổ sung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cơ sở lý luận và thực tiễn cho việc xây dựng các chính sách giáo dục thế hệ trẻ, đáp ứng yêu cầu phát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triển của Nghệ An và Việt Nam trong giai đoạn mới.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Giáo dục lý tưởng cách mạng; đạo đức và lối sống văn hóa; thế hệ trẻ; Nghệ An; chuyển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đổi số.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Amid digital transformation, international integration, and the rapid changes in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socio-economic environment, educating the younger generation in revolutionary ideals, ethics,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cultural lifestyle has become an urgent requirement for developing high-quality human resources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consolidating the political-social foundation. Based on an analysis of the Party’s guidelines, Ho Chi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Minh’s ideology, and the practical experience of educating the younger generation in Nghe An province,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article identifies new requirements and proposes a system of solutions to improve educational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effectiveness in a synchronized and sustainable manner. The solutions focus on strengthening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leadership role of the Party and the political system; promoting socio-economic development; renewing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content, methods, and forms of education; accelerating digital transformation; enhancing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coordination among family, school, and society; and at the same time fostering initiative and selfawareness among young people. The research findings contribute to enriching the theoretical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practical foundation for developing policies on educating the younger generation, meeting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development requirements of Nghe An and Vietnam in the new period.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Education in revolutionary ideals; ethics and cultural lifestyle; younger generation;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Nghe An; digital transformation</w:t>
      </w:r>
      <w:r>
        <w:t xml:space="preserve"> </w:t>
      </w:r>
    </w:p>
    <w:p w:rsidR="004D1BD1" w:rsidRDefault="004D1BD1">
      <w:r>
        <w:rPr>
          <w:rStyle w:val="fontstyle01"/>
        </w:rPr>
        <w:t>MỘT SỐ LƯU Ý ĐỐI VỚI THỦ TỤC TỐ TỤNG THÂN THIỆN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ĐẢM BẢO NGUYÊN TẮC VÌ LỢI ÍCH TỐT NHẤT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CHO BỊ HẠI LÀ NGƯỜI CHƯA THÀNH NIÊN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ĐẶNG THỊ THƠM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nghiên cứu yêu cầu xây dựng thủ tục tố tụng thân thiện nhằm bảo đảm nguyên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tắc vì lợi ích tốt nhất của bị hại là người chưa thành niên trong tố tụng hình sự trên cơ sở Luật Tư pháp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người chưa thành niên năm 2024 và thực tiễn xét xử tại Việt Nam. Thông qua các phương pháp phân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tích, tổng hợp và so sánh pháp luật, bài viết làm rõ nguy cơ tổn thương tâm lý và “sang chấn thứ cấp”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đối với người bị hại là người chưa thành niên, đặc biệt bị hại là trẻ em trong các vụ xâm hại tình dục.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Từ đó, bài viết nhấn mạnh sự cần thiết của việc bảo đảm thủ tục tố tụng thân thiện, hỗ trợ tâm lý, bảo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vệ bí mật đời tư và tăng cường vai trò của chuyên gia tâm lý, người làm công tác xã hội. Đồng thời, bài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viết đề xuất hoàn thiện pháp luật và nâng cao hiệu quả phối hợp giữa các cơ quan, tổ chức nhằm xây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dựng nền tư pháp trẻ em nhân văn, phục hồi và toàn diện hơn.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Người chưa thành niên; bị hại trẻ em; tố tụng thân thiện; lợi ích tốt nhất của trẻ em; công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lý phục hồi; sang chấn thứ cấp.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article examines the requirements for establishing child-friendly criminal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procedures to ensure the principle of the best interests of juvenile victims under the 2024 Law 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Juvenile Justice and judicial practice in Vietnam. Through analytical, synthetic, and comparative legal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research methods, the article clarifies the risks of psychological harm and secondary trauma faced by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juvenile victims, particularly child victims in sexual abuse cases. On that basis, the article emphasizes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necessity of ensuring child-friendly procedures, psychological support, privacy protection,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strengthening the role of psychologists and social workers. The article also proposes recommendations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for improving the legal framework and enhancing coordination among relevant agencies and social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organizations to develop a more humane, restorative, and comprehensive juvenile justice system.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Juveniles; child victims; child-friendly procedures; best interests of the child;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restorative justice; secondary trauma.</w:t>
      </w:r>
      <w:r>
        <w:t xml:space="preserve"> </w:t>
      </w:r>
    </w:p>
    <w:p w:rsidR="004D1BD1" w:rsidRDefault="004D1BD1">
      <w:r>
        <w:rPr>
          <w:rStyle w:val="fontstyle01"/>
        </w:rPr>
        <w:t>PHÁT TRIỂN NGUỒN NHÂN LỰC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TRONG CÁC ĐƠN VỊ ĐẢM BẢO CHẤT LƯỢNG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CỦA CÁC CƠ SỞ GIÁO DỤC ĐẠI HỌC VIỆT NAM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lastRenderedPageBreak/>
        <w:t>LÊ PHƯỚC MINH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21"/>
        </w:rPr>
        <w:t>VŨ THỊ MAI ANH</w:t>
      </w:r>
      <w:r>
        <w:rPr>
          <w:rStyle w:val="fontstyle21"/>
          <w:sz w:val="14"/>
          <w:szCs w:val="14"/>
        </w:rPr>
        <w:t>**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Hệ thống bảo đảm chất lượng giáo dục đại học Việt Nam được hình thành từ đầu những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năm 2000 và từng bước hoàn thiện thông qua các quy định của Bộ Giáo dục và Đào tạo về tự đánh giá,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đánh giá ngoài và kiểm định chất lượng cơ sở giáo dục cũng như chương trình đào tạo. Tuy nhiên, thực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tiễn triển khai cho thấy nhiều cơ sở giáo dục đại học vẫn gặp khó khăn trong việc duy trì và vận hành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hiệu quả hệ thống bảo đảm chất lượng bên trong (Internal Quality Assurance - IQA). Một trong những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nguyên nhân quan trọng là hạn chế về nguồn nhân lực, cả về số lượng và chất lượng, tại các đơn vị đảm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bảo chất lượng của các trường đại học. Trên cơ sở nghiên cứu lý luận, kinh nghiệm một số quốc gia, thực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tiễn trong nước, bài viết đề xuất một số giải pháp nhằm phát triển nguồn nhân lực QA tại các đơn vị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đảm bảo chất lượng của các trường đại học Việt Nam.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khoá: </w:t>
      </w:r>
      <w:r>
        <w:rPr>
          <w:rStyle w:val="fontstyle41"/>
        </w:rPr>
        <w:t>Nguồn nhân lực QA; đơn vị đảm bảo chất lượng; trường đại học.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Vietnam’s higher education quality assurance system was established in the early 2000s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and has been gradually refined through regulations issued by the Ministry of Education and Training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regarding self-assessment, external assessment, and quality accreditation for both institutions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academic programs. However, implementation reveals that many higher education institutions still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struggle to effectively maintain and operate their Internal Quality Assurance (IQA) systems. A key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factor contributing to this issue is the limitation in human resources-regarding both quantity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quality-within the universities’ quality assurance units. Based on a review of theoretical frameworks,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international experiences, and domestic practices, this article proposes solutions to develop quality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assurance human resources within the quality assurance units of Vietnamese universities.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QA human resources; quality assurance unit; university</w:t>
      </w:r>
      <w:r>
        <w:t xml:space="preserve"> </w:t>
      </w:r>
    </w:p>
    <w:p w:rsidR="004D1BD1" w:rsidRDefault="004D1BD1">
      <w:r>
        <w:rPr>
          <w:rStyle w:val="fontstyle01"/>
        </w:rPr>
        <w:t>THỰC TRẠNG VÀ CÁC KIẾN NGHỊ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VỀ VIỆC ÁP DỤNG LUẬT BẢO VỆ MÔI TRƯỜNG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TẠI KHU VỰC TÂY NGUYÊN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HÀ VIẾT TOÀN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Nghiên cứu này cung cấp một phân tích chuyên sâu về việc thực thi và triển khai Luật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Bảo vệ môi trường tại khu vực Tây Nguyên của Việt Nam sau khi Luật Bảo vệ môi trường được ban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hành. Mặc dù chính quyền địa phương đã nỗ lực nâng cao nhận thức, tổ chức các chương trình đào tạo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và triển khai các biện pháp bảo vệ môi trường, khu vực này vẫn tiếp tục phải đối mặt với nhiều vấn đề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môi trường nghiêm trọng. Nghiên cứu chỉ ra các nguyên nhân và đưa ra các kiến nghị cụ thể.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Kết quả nghiên cứu nhấn mạnh tầm quan trọng của việc gắn kết bảo vệ môi trường với quy hoạch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kinh tế - xã hội, tăng cường phối hợp giữa các thể chế và khuyến khích sự tham gia của khu vực tư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nhân thông qua các chính sách ưu đãi phù hợp. Các quốc gia có khung pháp lý rời rạc và áp lực phát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triển nhanh chóng có thể đặc biệt hưởng lợi từ kinh nghiệm của Việt Nam trong việc hướng tới mô hình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quản lý môi trường tích hợp và có sự tham gia rộng rãi hơn, cân bằng giữa tăng trưởng và bảo vệ sinh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thái.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Bảo vệ môi trường; Luật Bảo vệ môi trường; Môi trường các tỉnh Tây Nguyên.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study offers an in-depth examination of the enforcement and implementation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of Environmental Protection Laws in Vietnam’s Central Highlands following its adoption of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Environmental Protection Law. Despite local authorities’ efforts in promoting awareness, organizing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training programs, and implementing environmental protection measures, the region continues to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grapple with major environmental issues. The research highlights the causes and provides specific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recommendations.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findings underscore the importance of aligning environmental protection with socio-economic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planning, enhancing institutional coordination, and encouraging private sector participation through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appropriate policy incentives. Countries with fragmented legal frameworks and rapid development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pressures can particularly benefit from Vietnam’s experience in moving toward a more integrated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participatory model of environmental management that balances growth with ecological protection.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Environmental protection; Environmental protection law; Environment in the Central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Highlands provinces</w:t>
      </w:r>
      <w:r>
        <w:t xml:space="preserve"> </w:t>
      </w:r>
    </w:p>
    <w:p w:rsidR="004D1BD1" w:rsidRDefault="004D1BD1">
      <w:r>
        <w:rPr>
          <w:rStyle w:val="fontstyle01"/>
        </w:rPr>
        <w:t>MỘT SỐ LUẬN BÀN VỀ KHIẾU NẠI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VÀ GIẢI QUYẾT KHIẾU NẠI THEO QUY ĐỊNH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lastRenderedPageBreak/>
        <w:t>PHÁP LUẬT HIỆN HÀNH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LÊ PHƯƠNG THANH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phân tích những bất cập trong các quy định pháp luật hiện hành về khiếu nại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và giải quyết khiếu nại, trong đó làm rõ các vấn đề liên quan đến đối tượng khiếu nại, thẩm quyền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giải quyết, trình tự khiếu nại và sự tương thích với quy định của Luật Tố tụng hành chính. Trên cơ sở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đánh giá những điểm chưa thống nhất, chưa phù hợp của pháp luật, bài viết chỉ ra những hạn chế ảnh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hưởng đến hiệu quả giải quyết khiếu nại và bảo đảm quyền, lợi ích hợp pháp của cá nhân, tổ chức. Từ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đó, bài viết đề xuất một số kiến nghị hoàn thiện pháp luật về khiếu nại và giải quyết khiếu nại nhằm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bảo đảm tính đồng bộ, thống nhất của hệ thống pháp luật Việt Nam.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Đối tượng khiếu nại; Thẩm quyền giải quyết khiếu nại; Trình tự khiếu nại; Khiếu nại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không được thụ lý giải quyết.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article analyzes the shortcomings in current legal regulations on complaints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complaint resolution, clarifying issues related to the subject matter of complaints, resolution authority,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complaint procedures, and their compatibility with the Law on Administrative Procedures. Based 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an assessment of the inconsistencies and inadequacies in the law, the article points out the limitations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affecting the effectiveness of complaint resolution and the protection of the lawful rights and interests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of individuals and organizations. From there, the article proposes several recommendations for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improving the law on complaints and complaint resolution to ensure the coherence and unity of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Vietnam’s legal system.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Subjects of complaints; Competence to settle complaints; Complaint procedure;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Complaints not accepted for settlement</w:t>
      </w:r>
      <w:r>
        <w:t xml:space="preserve"> </w:t>
      </w:r>
    </w:p>
    <w:p w:rsidR="00D53450" w:rsidRDefault="00D53450">
      <w:r>
        <w:rPr>
          <w:rStyle w:val="fontstyle01"/>
        </w:rPr>
        <w:t>QUÁ TRÌNH CHUYỂN ĐỔI MÔ HÌNH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HỘI NHẬP QUỐC TẾ VỀ KHOA HỌC VÀ CÔNG NGHỆ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CỦA VIỆT NAM: TỪ HỢP TÁC HỖ TRỢ SANG ĐỐI TÁC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CHIẾN LƯỢC TOÀN DIỆN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NGUYỄN ANH THƯ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Khoa học và công nghệ (KH&amp;CN) là quốc sách hàng đầu và động lực then chốt cho phát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triển. Bài viết phân tích quá trình hội nhập quốc tế về KH&amp;CN của Việt Nam từ tiếp nhận hỗ trợ sang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hợp tác bình đẳng và hướng tới đối tác chiến lược toàn diện, qua đó đề xuất giải pháp nâng cao hiệu quả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hội nhập, góp phần thực hiện mục tiêu trở thành nước phát triển, thu nhập cao vào năm 2045.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Hội nhập quốc tế; khoa học và công nghệ; hợp tác hỗ trợ; đối tác chiến lược toàn diện;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Việt Nam.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Science and technology (S&amp;T) is a top national policy and a key driver of development.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This article analyzes the process of Vietnam’s international integration in S&amp;T, from receiving support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to pursuing more equal cooperation and comprehensive strategic partnerships, thereby proposing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solutions to improve integration effectiveness and contribute to the goal of becoming a developed,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high-income country by 2045.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International integration; science and technology; supportive cooperation;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comprehensive strategic partnership; Vietnam</w:t>
      </w:r>
      <w:r>
        <w:t xml:space="preserve"> </w:t>
      </w:r>
    </w:p>
    <w:p w:rsidR="00D53450" w:rsidRDefault="00D53450">
      <w:r>
        <w:rPr>
          <w:rStyle w:val="fontstyle01"/>
        </w:rPr>
        <w:t>ĐÓNG GÓP BẰNG QUYỀN SỬ DỤNG ĐẤT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TRONG HỢP ĐỒNG HỢP TÁC KINH DOANH -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THỰC TRẠNG VÀ HƯỚNG HOÀN THIỆN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VŨ THỊ BÍCH HẢI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phân tích việc đóng góp quyền sử dụng đất trong hợp đồng hợp tác kinh doanh tại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Việt Nam. Đây là hình thức đầu tư linh hoạt, phổ biến nhất là với các dự án có quỹ đất lớn. Tuy nhiên,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thực tiễn áp dụng còn nhiều vướng mắc pháp lý như chưa rõ ràng trong việc xác định tài sản góp vốn,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hạn chế đối với đất thuê trả tiền hàng năm, thiếu quy định thống nhất giữa Luật Đất đai, Luật Đầu tư,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Bộ luật Dân sự. Các vụ án thực tế cho thấy nhiều hợp đồng hợp tác kinh doanh bị vô hiệu do vi phạm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điều cấm hoặc nhầm lẫn với hợp đồng thuê đất. Trên cơ sở đó, bài viết đề xuất một số kiến nghị hoàn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thiện pháp luật về đóng góp bằng quyền sử dụng đất trong hợp đồng hợp tác kinh doanh.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Hợp đồng hợp tác kinh doanh; quyền sử dụng đất; Luật Đầu tư, Luật Đất đai.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article analyzes the contribution of land use rights in business cooperation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lastRenderedPageBreak/>
        <w:t>contracts (BCCs) in Vietnam. This is a flexible and common form of investment, especially for projects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with large land banks. However, practical implementation faces many legal obstacles, such as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lack of clarity in determining contributed assets, restrictions on land leased with annual rental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payments, and the absence of consistent regulations among the Land Law, the Investment Law,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and the Civil Code. Actual cases show that many BCCs have been declared invalid due to violations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of prohibitive provisions or confusion with land lease contracts. On this basis, the article proposes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several recommendations to improve the legal framework governing the contribution of land use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rights in business cooperation contracts.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Business cooperation contract; land use rights; Investment Law; Land Law</w:t>
      </w:r>
      <w:r>
        <w:t xml:space="preserve"> </w:t>
      </w:r>
    </w:p>
    <w:p w:rsidR="00D53450" w:rsidRDefault="00D53450">
      <w:r>
        <w:rPr>
          <w:rStyle w:val="fontstyle01"/>
        </w:rPr>
        <w:t>CHÍNH SÁCH LAO ĐỘNG CỦA VIỆT NAM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TRONG BỐI CẢNH THỰC THI CÁC HIỆP ĐỊNH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THƯƠNG MẠI TỰ DO THẾ HỆ MỚI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NGUYỄN THANH BÌNH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Trong bối cảnh hội nhập kinh tế sâu rộng, Việt Nam đã trở thành thành viên của nhiều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hiệp định thương mại tự do (FTA) thế hệ mới, trong đó các cam kết về tiêu chuẩn lao động đã trở thành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yếu tố cốt lõi. Bài viết tập trung nghiên cứu chính sách của Việt Nam đối với người lao động thông qua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việc nghiên cứu quá trình nội địa hóa các cam kết quốc tế từ CPTPP và các FTA thế hệ mới vào hệ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thống pháp luật nội địa. Bằng phương pháp phân tích văn bản pháp lý kết hợp với đánh giá thực tiễn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thực thi, bài báo chỉ ra những thành tựu trong việc hoàn thiện khuôn khổ thể chế, đồng thời nhận diện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những khoảng trống (implementation gaps) giữa văn bản chính sách và thực trạng áp dụng tại doanh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nghiệp. Nghiên cứu khẳng định rằng, để đạt được sự phát triển bền vững và tận dụng hiệu quả các lợi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thế từ FTA, Việt Nam cần chuyển dịch trọng tâm chính sách từ việc đơn thuần hoàn thiện khuôn khổ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pháp lý sang nâng cao năng lực thực thi và xây dựng cơ chế đối thoại xã hội thực chất.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Chính sách lao động; FTA thế hệ mới; CPTPP; EVFTA; người lao động; thực thi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chính sách.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In the context of deep economic integration, Vietnam has become a member of many newgeneration free trade agreements (FTAs), in which commitments on labour standards have become a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core element. This article examines Vietnam’s labour policies by analyzing the process of localizing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international commitments from the CPTPP and other new-generation FTAs into the domestic legal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system. Using legal text analysis combined with an assessment of implementation practices, the article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highlights achievements in perfecting the institutional framework, while identifying implementation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gaps between policy documents actual actual practice at the enterprise level. The research affirms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that, to achieve sustainable development and effectively utilize the advantages from FTAs, Vietnam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needs to shift the focus of its policies from simply perfecting the legal framework to enhancing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implementation capacity and building a substantive social dialogue mechanism.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Labour policy; new-generation FTAs; CPTPP; EVFTA; workers; policy implementation</w:t>
      </w:r>
      <w:r>
        <w:t xml:space="preserve"> </w:t>
      </w:r>
    </w:p>
    <w:p w:rsidR="00D53450" w:rsidRDefault="00D53450">
      <w:r>
        <w:rPr>
          <w:rStyle w:val="fontstyle01"/>
        </w:rPr>
        <w:t>PHÁT HUY GIÁ TRỊ ĐẠO ĐỨC CỦA PHẬT GIÁO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TRONG ĐỜI SỐNG VĂN HÓA TINH THẦN Ở TỈNH AN GIANG: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THỰC TRẠNG VÀ NHỮNG VẤN ĐỀ ĐẶT RA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NGUYỄN THỊ HOA NÂU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Phật giáo với hệ giá trị đạo đức đặc thù có ảnh hưởng sâu rộng trong đời sống văn hóa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tinh thần của người Việt Nam. Trong bối cảnh hiện nay, trước những biến đổi kinh tế - xã hội và các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biểu hiện lệch chuẩn đạo đức, việc phát huy các giá trị này trở thành yêu cầu cấp thiết. Nghiên cứu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này làm rõ nội hàm giá trị đạo đức Phật giáo và thực trạng phát huy tại An Giang. Kết quả cho thấy,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các giá trị này được thể hiện qua đời sống văn hóa, hoạt động từ thiện - xã hội, giáo dục cộng đồng, góp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phần định hướng hành vi và củng cố chuẩn mực ứng xử. Đồng thời, bài viết cũng chỉ ra một số hạn chế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và những vấn đề đặt ra trong bối cảnh hiện nay.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Giá trị đạo đức Phật giáo; đời sống văn hóa tinh thần; An Giang; Phật giáo An Giang;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Phật giáo.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Buddhism, with its distinctive system of moral values, has exerted a profound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far-reaching influence on the spiritual and cultural life of the Vietnamese people. In the current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lastRenderedPageBreak/>
        <w:t>context, amid socio-economic changes and manifestations of moral deviation, promoting these values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has become an urgent necessity. This study clarifies the core contents of Buddhist moral values and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examines the current state of their promotion in An Giang Province. The findings indicate that these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values are reflected in cultural life, charitable and social activities, and community education, thereby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contributing to behavioral orientation and the reinforcement of norms of conduct. At the same time,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article identifies several limitations and emerging issues in the current context.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Buddhist moral values; spiritual and cultural life; An Giang; Buddhism in An Giang;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Buddhism</w:t>
      </w:r>
      <w:r>
        <w:t xml:space="preserve"> </w:t>
      </w:r>
    </w:p>
    <w:p w:rsidR="00D53450" w:rsidRDefault="00D53450">
      <w:r>
        <w:rPr>
          <w:rStyle w:val="fontstyle01"/>
        </w:rPr>
        <w:t>THỰC TRẠNG CHUYỂN ĐỔI KINH TẾ XANH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01"/>
        </w:rPr>
        <w:t>Ở TRUNG QUỐC</w:t>
      </w:r>
      <w:r>
        <w:rPr>
          <w:rFonts w:ascii="UTM-CenturBold" w:hAnsi="UTM-CenturBold"/>
          <w:b/>
          <w:bCs/>
          <w:color w:val="242021"/>
          <w:sz w:val="32"/>
          <w:szCs w:val="32"/>
        </w:rPr>
        <w:br/>
      </w:r>
      <w:r>
        <w:rPr>
          <w:rStyle w:val="fontstyle21"/>
        </w:rPr>
        <w:t>NGUYỄN DIỆU HƯƠNG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21"/>
        </w:rPr>
        <w:t>NGUYỄN DIỆU HÀ</w:t>
      </w:r>
      <w:r>
        <w:rPr>
          <w:rStyle w:val="fontstyle21"/>
          <w:sz w:val="14"/>
          <w:szCs w:val="14"/>
        </w:rPr>
        <w:t>**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21"/>
        </w:rPr>
        <w:t>PHAN THỊ HẢI</w:t>
      </w:r>
      <w:r>
        <w:rPr>
          <w:rStyle w:val="fontstyle21"/>
          <w:sz w:val="14"/>
          <w:szCs w:val="14"/>
        </w:rPr>
        <w:t>***</w:t>
      </w:r>
      <w:r>
        <w:rPr>
          <w:rFonts w:ascii="UTM-Centur" w:hAnsi="UTM-Centur"/>
          <w:color w:val="242021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Nhu cầu chuyển đổi kinh tế xanh ở Trung Quốc đã xuất hiện từ rất lâu. Ý tưởng xây dựng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một nền kinh tế gắn với bảo vệ môi trường đã trải qua một quá trình diễn biến gần 10 năm. Từ mục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đích ban đầu là xây dựng văn minh sinh thái, đến việc chính thức đưa ra quan điểm phát triển xanh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và các biện pháp cụ thể để xây dựng một nền kinh tế xanh, Trung Quốc đã và đang thực hiện các hàng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loạt các chiến lược trọng điểm. Các biện pháp thực hiện chuyển đổi kinh tế xanh của Trung Quốc tập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trung vào ba phương diện lớn: xây dựng các ngành nghề xanh, cải tạo xanh hóa các ngành nghề truyền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thống, ứng dụng năng lượng xanh. Trong đó, từng lĩnh vực đã thu được những thành quả nhất định.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Kinh tế xanh; chuyển đổi; Trung Quốc.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need for green economic transformation in China emerged a long time ago. The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idea of building an economy connected to environmental protection has undergone a process of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development spanning nearly a decade. From the initial goal of building ecological civilization to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official introduction of the green development concept and specific measures for building a green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economy, China has been implementing a series of key strategies. China’s measures for carrying out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green economic transformation focus on three major aspects: developing green industries, greening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the transformation of traditional industries, and applying green energy. In each of these areas, certain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41"/>
        </w:rPr>
        <w:t>achievements have been attained.</w:t>
      </w:r>
      <w:r>
        <w:rPr>
          <w:rFonts w:ascii="UTMCentur-Italic" w:hAnsi="UTMCentur-Italic"/>
          <w:i/>
          <w:iCs/>
          <w:color w:val="242021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Green economy; Transformation; China.</w:t>
      </w:r>
      <w:r>
        <w:t xml:space="preserve"> </w:t>
      </w:r>
    </w:p>
    <w:p w:rsidR="00D53450" w:rsidRDefault="00D53450">
      <w:bookmarkStart w:id="0" w:name="_GoBack"/>
      <w:bookmarkEnd w:id="0"/>
    </w:p>
    <w:sectPr w:rsidR="00D53450" w:rsidSect="00B44F2E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M-CenturBold">
    <w:altName w:val="Times New Roman"/>
    <w:panose1 w:val="00000000000000000000"/>
    <w:charset w:val="00"/>
    <w:family w:val="roman"/>
    <w:notTrueType/>
    <w:pitch w:val="default"/>
  </w:font>
  <w:font w:name="UTM-Centur">
    <w:altName w:val="Times New Roman"/>
    <w:panose1 w:val="00000000000000000000"/>
    <w:charset w:val="00"/>
    <w:family w:val="roman"/>
    <w:notTrueType/>
    <w:pitch w:val="default"/>
  </w:font>
  <w:font w:name="UTMCentur-BoldItalic">
    <w:altName w:val="Times New Roman"/>
    <w:panose1 w:val="00000000000000000000"/>
    <w:charset w:val="00"/>
    <w:family w:val="roman"/>
    <w:notTrueType/>
    <w:pitch w:val="default"/>
  </w:font>
  <w:font w:name="UTMCentur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EB"/>
    <w:rsid w:val="00485799"/>
    <w:rsid w:val="004D1BD1"/>
    <w:rsid w:val="00B44F2E"/>
    <w:rsid w:val="00D53450"/>
    <w:rsid w:val="00F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B44FD-2D8D-4CF1-A012-DB73F0DF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D1BD1"/>
    <w:rPr>
      <w:rFonts w:ascii="UTM-CenturBold" w:hAnsi="UTM-CenturBold" w:hint="default"/>
      <w:b/>
      <w:bCs/>
      <w:i w:val="0"/>
      <w:iCs w:val="0"/>
      <w:color w:val="242021"/>
      <w:sz w:val="32"/>
      <w:szCs w:val="32"/>
    </w:rPr>
  </w:style>
  <w:style w:type="character" w:customStyle="1" w:styleId="fontstyle21">
    <w:name w:val="fontstyle21"/>
    <w:basedOn w:val="DefaultParagraphFont"/>
    <w:rsid w:val="004D1BD1"/>
    <w:rPr>
      <w:rFonts w:ascii="UTM-Centur" w:hAnsi="UTM-Centu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31">
    <w:name w:val="fontstyle31"/>
    <w:basedOn w:val="DefaultParagraphFont"/>
    <w:rsid w:val="004D1BD1"/>
    <w:rPr>
      <w:rFonts w:ascii="UTMCentur-BoldItalic" w:hAnsi="UTMCentur-BoldItalic" w:hint="default"/>
      <w:b/>
      <w:bCs/>
      <w:i/>
      <w:iCs/>
      <w:color w:val="242021"/>
      <w:sz w:val="20"/>
      <w:szCs w:val="20"/>
    </w:rPr>
  </w:style>
  <w:style w:type="character" w:customStyle="1" w:styleId="fontstyle41">
    <w:name w:val="fontstyle41"/>
    <w:basedOn w:val="DefaultParagraphFont"/>
    <w:rsid w:val="004D1BD1"/>
    <w:rPr>
      <w:rFonts w:ascii="UTMCentur-Italic" w:hAnsi="UTMCentur-Italic" w:hint="default"/>
      <w:b w:val="0"/>
      <w:bCs w:val="0"/>
      <w:i/>
      <w:iCs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MaiHoa</dc:creator>
  <cp:keywords/>
  <dc:description/>
  <cp:lastModifiedBy>MaiHoa</cp:lastModifiedBy>
  <cp:revision>3</cp:revision>
  <dcterms:created xsi:type="dcterms:W3CDTF">2026-08-21T07:20:00Z</dcterms:created>
  <dcterms:modified xsi:type="dcterms:W3CDTF">2026-08-21T07:28:00Z</dcterms:modified>
</cp:coreProperties>
</file>