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826" w:rsidRDefault="00924B12">
      <w:r>
        <w:rPr>
          <w:rStyle w:val="fontstyle01"/>
        </w:rPr>
        <w:t>CẦN HIỂU ĐÚNG HƠN VỀ THỂ CHẾ CÔNG HỮU</w:t>
      </w:r>
      <w:r>
        <w:rPr>
          <w:rStyle w:val="fontstyle01"/>
          <w:sz w:val="20"/>
          <w:szCs w:val="20"/>
        </w:rPr>
        <w:t>*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VŨ THỊ HƯNG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HỒ VIỆT HẠNH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51"/>
        </w:rPr>
        <w:t xml:space="preserve">Tóm tắt: </w:t>
      </w:r>
      <w:r>
        <w:rPr>
          <w:rStyle w:val="fontstyle61"/>
        </w:rPr>
        <w:t>Bài viết tập trung làm rõ cách hiểu về thể chế công hữu trên cơ sở quan điểm của chủ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nghĩa Mác - Lênin và thực tiễn xây dựng chủ nghĩa xã hội. Trước hết, bài viết tiếp cận khái niệm thể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chế từ nguyên lý về mối liên hệ phổ biến của phép biện chứng duy vật, qua đó xem thể chế như hệ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thống các mối quan hệ giữa các bộ phận cấu thành của đời sống xã hội. Trên cơ sở đó, bài viết phân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tích một số nội dung cơ bản về thể chế công hữu trong chủ nghĩa Mác - Lênin, nhấn mạnh mối quan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hệ giữa sự phát triển của lực lượng sản xuất với quan hệ sản xuất và chế độ sở hữu. Bài viết cho rằng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cần phân biệt công hữu với tư cách là mục tiêu lâu dài của sự phát triển xã hội với công hữu như một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phương tiện cụ thể trong quá trình tổ chức và phát triển nền kinh tế ở từng giai đoạn lịch sử. Từ thực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tiễn xây dựng chủ nghĩa xã hội, bài viết chỉ ra rằng việc xác lập và phát huy vai trò của công hữu phải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phù hợp với trình độ phát triển của lực lượng sản xuất và điều kiện lịch sử - cụ thể của mỗi quốc gia;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đồng thời không nên đồng nhất công hữu trong phạm vi một quốc gia với hình thức công hữu của một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hình thái kinh tế - xã hội phát triển ở trình độ cao hơn. Qua đó, bài viết góp phần làm rõ hơn cơ sở lý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luận và thực tiễn của việc nhận thức thể chế công hữu trong quá trình phát triển kinh tế thị trường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định hướng xã hội chủ nghĩa hiện nay.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Từ khóa: </w:t>
      </w:r>
      <w:r>
        <w:rPr>
          <w:rStyle w:val="fontstyle61"/>
        </w:rPr>
        <w:t>Thể chế; công hữu; lực lượng sản xuất; quan hệ sản xuất; chủ nghĩa xã hội.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Abstract: </w:t>
      </w:r>
      <w:r>
        <w:rPr>
          <w:rStyle w:val="fontstyle61"/>
        </w:rPr>
        <w:t>This article clarifies the understanding of the institution of public ownership based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on Marxist-Leninist views and the practice of building socialism. First, it approaches the concept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institution from the principle of universal interconnection in materialist dialectics, thereby viewing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institutions as systems of relationships among the constituent components of social life. On that basis,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the article analyzes several fundamental aspects of the institution of public ownership in MarxismLeninism, emphasizing the relationship between the development of the productive forces and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relations of production and the ownership regime. The article argues that it is necessary to distinguish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public ownership as a long-term goal of social development from public ownership as a concrete means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of organizing and developing the economy in each historical period. Drawing on the practice of building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socialism, the article points out that the establishment and promotion of the role of public ownership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must be consistent with the level of development of the productive forces and the specific historical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conditions of each country; at the same time, public ownership within a single country should not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be equated with the form of public ownership of a more highly developed socio-economic formation.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In doing so, the article contributes to further clarifying the theoretical and practical foundations for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understanding the institution of public ownership in the current process of developing the socialistoriented market economy.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Keywords: </w:t>
      </w:r>
      <w:r>
        <w:rPr>
          <w:rStyle w:val="fontstyle61"/>
        </w:rPr>
        <w:t>Institution; public ownership; productive forces; relations of production; socialism</w:t>
      </w:r>
      <w:r>
        <w:t xml:space="preserve"> </w:t>
      </w:r>
    </w:p>
    <w:p w:rsidR="00924B12" w:rsidRDefault="00924B12"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t>TƯ DUY PHẢN BIỆN VÀ VAI TRÒ CỦA NÓ</w:t>
      </w:r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br/>
        <w:t>VỚI SINH VIÊN CÁC TRƯỜNG CÔNG AN NHÂN DÂN</w:t>
      </w:r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br/>
        <w:t>TRONG KỶ NGUYÊN MỚI</w:t>
      </w:r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24B12">
        <w:rPr>
          <w:rFonts w:ascii="UTM-Centur" w:hAnsi="UTM-Centur"/>
          <w:color w:val="242021"/>
          <w:sz w:val="24"/>
          <w:szCs w:val="24"/>
        </w:rPr>
        <w:t>NGUYỄN THỊ VÂN</w:t>
      </w:r>
      <w:r w:rsidRPr="00924B12">
        <w:rPr>
          <w:rFonts w:ascii="UTM-Centur" w:hAnsi="UTM-Centur"/>
          <w:color w:val="242021"/>
          <w:sz w:val="14"/>
          <w:szCs w:val="14"/>
        </w:rPr>
        <w:t>*</w:t>
      </w:r>
      <w:r w:rsidRPr="00924B12">
        <w:rPr>
          <w:rFonts w:ascii="UTM-Centur" w:hAnsi="UTM-Centur"/>
          <w:color w:val="242021"/>
          <w:sz w:val="14"/>
          <w:szCs w:val="14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Trong bối cảnh đất nước đang hội nhập sâu rộng với thế giới, tình hình an ninh chính trị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còn có nhiều diễn biến phức tạp, các thế lực thù địch gia tăng hoạt động chống phá dưới nhiều hình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thức. Đòi hỏi nâng cao chất lượng đào tạo, đặc biệt là phát triển tư duy phản biện cho sinh viên các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trường Công an nhân dân là yêu cầu cấp thiết, vừa mang tính chiến lược vừa mang tính bền vững,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nhằm xây dựng đội ngũ cán bộ vừa “hồng”, vừa “chuyên”, đủ bản lĩnh, trí tuệ để hoàn thành tốt nhiệm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vụ bảo vệ an ninh quốc gia, giữ gìn trật tự, an toàn xã hội trong tình hình mới. Trên cơ sở làm rõ một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số vấn đề lý luận và thực tiễn, bài viết đề xuất một số giải pháp nhằm phát triển và nâng cao tư duy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phản biện cho sinh viên các trường Công an nhân dân hiện nay.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Tư duy phản biện, sinh viên, công an nhân dân; An ninh quốc gia, trật tự an toàn xã hội.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As the country is deeply and extensively integrating into the world, the political security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situation remains complex, and hostile forces are intensifying their sabotage activities in various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forms. In this context, improving the quality of training, particularly developing critical thinking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among students of People’s Public Security educational institutions, is an urgent requirement of both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strategic and sustainable significance. It aims to build a contingent of officers who are both “red”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(politically steadfast) and “expert” (professionally competent), with sufficient resilience and intellectual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capacity to successfully fulfill the tasks of protecting national security and maintaining social order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and safety in the new situation. Based on clarifying several theoretical and practical issues, the article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proposes solutions to develop and enhance critical thinking among students of People’s Public Security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educational institutions today.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Critical thinking; students; People’s Public Security; national security; social order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and safety</w:t>
      </w:r>
      <w:r w:rsidRPr="00924B12">
        <w:t xml:space="preserve"> </w:t>
      </w:r>
    </w:p>
    <w:p w:rsidR="00924B12" w:rsidRDefault="00924B12">
      <w:r>
        <w:rPr>
          <w:rStyle w:val="fontstyle01"/>
        </w:rPr>
        <w:t>NGHIÊN CỨU HOÀN THIỆN HỆ THỐNG PHÁP LUẬT</w:t>
      </w:r>
      <w:r>
        <w:rPr>
          <w:rFonts w:ascii="UTM-CenturBold" w:hAnsi="UTM-CenturBold"/>
          <w:b/>
          <w:bCs/>
          <w:color w:val="242021"/>
          <w:sz w:val="32"/>
          <w:szCs w:val="32"/>
        </w:rPr>
        <w:br/>
      </w:r>
      <w:r>
        <w:rPr>
          <w:rStyle w:val="fontstyle01"/>
        </w:rPr>
        <w:t>VỀ QUẢN TRỊ NGUỒN NHÂN LỰC XANH Ở VIỆT NAM</w:t>
      </w:r>
      <w:r>
        <w:rPr>
          <w:rFonts w:ascii="UTM-CenturBold" w:hAnsi="UTM-CenturBold"/>
          <w:b/>
          <w:bCs/>
          <w:color w:val="242021"/>
          <w:sz w:val="20"/>
          <w:szCs w:val="20"/>
        </w:rPr>
        <w:br/>
      </w:r>
      <w:r>
        <w:rPr>
          <w:rStyle w:val="fontstyle21"/>
        </w:rPr>
        <w:t>LÊ THANH HÀ</w:t>
      </w:r>
      <w:r>
        <w:rPr>
          <w:rStyle w:val="fontstyle21"/>
          <w:sz w:val="14"/>
          <w:szCs w:val="14"/>
        </w:rPr>
        <w:t>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NGUYỄN CHIẾN THẮNG</w:t>
      </w:r>
      <w:r>
        <w:rPr>
          <w:rStyle w:val="fontstyle21"/>
          <w:sz w:val="14"/>
          <w:szCs w:val="14"/>
        </w:rPr>
        <w:t>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21"/>
        </w:rPr>
        <w:t>VŨ THÚY ANH</w:t>
      </w:r>
      <w:r>
        <w:rPr>
          <w:rStyle w:val="fontstyle21"/>
          <w:sz w:val="14"/>
          <w:szCs w:val="14"/>
        </w:rPr>
        <w:t>***</w:t>
      </w:r>
      <w:r>
        <w:rPr>
          <w:rFonts w:ascii="UTM-Centur" w:hAnsi="UTM-Centur"/>
          <w:color w:val="242021"/>
          <w:sz w:val="14"/>
          <w:szCs w:val="14"/>
        </w:rPr>
        <w:br/>
      </w:r>
      <w:r>
        <w:rPr>
          <w:rStyle w:val="fontstyle31"/>
        </w:rPr>
        <w:t xml:space="preserve">1 </w:t>
      </w:r>
      <w:r>
        <w:rPr>
          <w:rStyle w:val="fontstyle31"/>
          <w:sz w:val="20"/>
          <w:szCs w:val="20"/>
        </w:rPr>
        <w:t xml:space="preserve">Bài báo là sản phẩm của Đề tài cấp nhà nước </w:t>
      </w:r>
      <w:r>
        <w:rPr>
          <w:rStyle w:val="fontstyle41"/>
        </w:rPr>
        <w:t>“Giải pháp bảo đảm thực hiện trách nhiệm xã hội tại các doanh nghiệp trong</w:t>
      </w:r>
      <w:r>
        <w:rPr>
          <w:rFonts w:ascii="TimesNewRomanPS-ItalicMT" w:hAnsi="TimesNewRomanPS-ItalicMT"/>
          <w:i/>
          <w:iCs/>
          <w:color w:val="242021"/>
          <w:sz w:val="20"/>
          <w:szCs w:val="20"/>
        </w:rPr>
        <w:br/>
      </w:r>
      <w:r>
        <w:rPr>
          <w:rStyle w:val="fontstyle41"/>
        </w:rPr>
        <w:t xml:space="preserve">bối cảnh Việt Nam thực hiện các hiệp định thương mại tự do (FTA) thế hệ mới”, </w:t>
      </w:r>
      <w:r>
        <w:rPr>
          <w:rStyle w:val="fontstyle31"/>
          <w:sz w:val="20"/>
          <w:szCs w:val="20"/>
        </w:rPr>
        <w:t>mã số: KX.01.01/21-30.</w:t>
      </w:r>
      <w:r>
        <w:rPr>
          <w:rFonts w:ascii="TimesNewRomanPSMT" w:hAnsi="TimesNewRomanPSMT"/>
          <w:color w:val="242021"/>
          <w:sz w:val="20"/>
          <w:szCs w:val="20"/>
        </w:rPr>
        <w:br/>
      </w:r>
      <w:r>
        <w:rPr>
          <w:rStyle w:val="fontstyle31"/>
        </w:rPr>
        <w:t xml:space="preserve">* </w:t>
      </w:r>
      <w:r>
        <w:rPr>
          <w:rStyle w:val="fontstyle31"/>
          <w:sz w:val="20"/>
          <w:szCs w:val="20"/>
        </w:rPr>
        <w:t>PGS., TS., Trường Đại học Lao động - Xã hội; Email: halt@ulsa.edu.vn</w:t>
      </w:r>
      <w:r>
        <w:rPr>
          <w:rFonts w:ascii="TimesNewRomanPSMT" w:hAnsi="TimesNewRomanPSMT"/>
          <w:color w:val="242021"/>
          <w:sz w:val="20"/>
          <w:szCs w:val="20"/>
        </w:rPr>
        <w:br/>
      </w:r>
      <w:r>
        <w:rPr>
          <w:rStyle w:val="fontstyle31"/>
        </w:rPr>
        <w:t xml:space="preserve">** </w:t>
      </w:r>
      <w:r>
        <w:rPr>
          <w:rStyle w:val="fontstyle31"/>
          <w:sz w:val="20"/>
          <w:szCs w:val="20"/>
        </w:rPr>
        <w:t>PGS.TS., Viện nghiên cứu châu Âu và châu Mỹ, Viện Hàn lâm KHXH Việt Nam; Email: ncthang69@yahoo.com</w:t>
      </w:r>
      <w:r>
        <w:rPr>
          <w:rFonts w:ascii="TimesNewRomanPSMT" w:hAnsi="TimesNewRomanPSMT"/>
          <w:color w:val="242021"/>
          <w:sz w:val="20"/>
          <w:szCs w:val="20"/>
        </w:rPr>
        <w:br/>
      </w:r>
      <w:r>
        <w:rPr>
          <w:rStyle w:val="fontstyle31"/>
        </w:rPr>
        <w:t xml:space="preserve">*** </w:t>
      </w:r>
      <w:r>
        <w:rPr>
          <w:rStyle w:val="fontstyle31"/>
          <w:sz w:val="20"/>
          <w:szCs w:val="20"/>
        </w:rPr>
        <w:t>Ths. - Trường Đại học Lao động - Xã hội (CS2); Email: anhvt@ldxh.edu.vn</w:t>
      </w:r>
      <w:r>
        <w:rPr>
          <w:rFonts w:ascii="TimesNewRomanPSMT" w:hAnsi="TimesNewRomanPSMT"/>
          <w:color w:val="242021"/>
          <w:sz w:val="20"/>
          <w:szCs w:val="20"/>
        </w:rPr>
        <w:br/>
      </w:r>
      <w:r>
        <w:rPr>
          <w:rStyle w:val="fontstyle51"/>
        </w:rPr>
        <w:t xml:space="preserve">Tóm tắt: </w:t>
      </w:r>
      <w:r>
        <w:rPr>
          <w:rStyle w:val="fontstyle61"/>
        </w:rPr>
        <w:t>Bài viết nghiên cứu thực trạng và định hướng hoàn thiện hệ thống pháp luật về quản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trị nguồn nhân lực xanh (GHRM) trong bối cảnh nội luật hóa các tiêu chuẩn môi trường và lao động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quốc tế. Bằng việc vận dụng các phương pháp nghiên cứu định tính như phân tích luật học so sánh,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thẩm định chính sách và nghiên cứu tài liệu, các tác giả tiến hành đối chiếu khung pháp lý hiện hành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với các cam kết quốc tế. Kết quả nghiên cứu chỉ ra rằng, mặc dù Việt Nam đã kiến tạo được hành lang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chính trị vững chắc, hệ thống pháp luật GHRM vẫn tồn tại sự phân mảnh và còn nhiều hạn chế. Những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“khoảng trống” định chế trọng yếu được nhận diện bao gồm sự thiếu hụt hướng dẫn về thỏa ước lao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động tập thể xanh, cơ chế kiểm soát phát thải chưa gắn kết chặt chẽ với trách nhiệm nhân sự và còn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lỏng lẻo trong quy định về đào tạo kỹ năng xanh. Bài viết đóng góp về mặt lý luận khi hệ thống hóa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GHRM dưới lăng kính quản trị định chế, đồng thời đề xuất các giải pháp như chuẩn hóa khung năng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lực nghề nghiệp xanh, thiết lập đòn bẩy tài khóa cho đào tạo chuyển đổi và nâng cấp trách nhiệm giải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trình báo cáo ESG. Những khuyến nghị này sẽ góp phần hiện thực hóa mục tiêu Net Zero và góp phần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tạo lập nền tảng pháp lý vững chắc để bảo vệ quyền lợi người lao động, nâng cao vị thế cạnh tranh của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doanh nghiệp Việt Nam trong chuỗi giá trị toàn cầu bền vững.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Từ khóa: </w:t>
      </w:r>
      <w:r>
        <w:rPr>
          <w:rStyle w:val="fontstyle61"/>
        </w:rPr>
        <w:t>Quản trị nguồn nhân lực xanh, Luật Bảo vệ môi trường, Luật Lao động, FTA thế hệ mới,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Việt Nam.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Abstract: </w:t>
      </w:r>
      <w:r>
        <w:rPr>
          <w:rStyle w:val="fontstyle61"/>
        </w:rPr>
        <w:t>This article examines the current state and provides orientations for perfecting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legal framework governing Green Human Resource Management (GHRM) within the context of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domesticating international environmental and labor standards. By employing qualitative research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methods, including comparative legal analysis, policy appraisal, and documentary research,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authors contrast the existing legal framework with international commitments. The research findings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indicate that although Vietnam has established a solid political and policy foundation, the GHRM legal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system remains fragmented and characterized by numerous limitations. Critical institutional “gaps”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identified include the lack of guidelines for green collective bargaining agreements, emission control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mechanisms that are not yet closely tied to personnel responsibilities, and loose regulations regarding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green skills training. The article contributes theoretically by systematizing GHRM through the lens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of institutional governance, while simultaneously proposing solutions such as standardizing green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occupational competency frameworks, establishing fiscal levers for transition training, and upgrading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ESG reporting accountability. These recommendations are expected to facilitate the realization of Net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Zero goals and contribute to creating a firm legal foundation to protect labor rights and enhance the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competitive position of Vietnamese enterprises within sustainable global value chains.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51"/>
        </w:rPr>
        <w:t xml:space="preserve">Keywords: </w:t>
      </w:r>
      <w:r>
        <w:rPr>
          <w:rStyle w:val="fontstyle61"/>
        </w:rPr>
        <w:t>Green Human Resource Management, Environmental Protection Law, Labor Law,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>
        <w:rPr>
          <w:rStyle w:val="fontstyle61"/>
        </w:rPr>
        <w:t>New-generation FTAs, Vietnam</w:t>
      </w:r>
      <w:r>
        <w:t xml:space="preserve"> </w:t>
      </w:r>
    </w:p>
    <w:p w:rsidR="00924B12" w:rsidRDefault="00924B12"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t>PHÁT TRIỂN KINH TẾ TƯ NHÂN THỜI KỲ ĐỔI MỚI:</w:t>
      </w:r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br/>
        <w:t>TỪ CHÍNH SÁCH ĐẾN THỰC TIỄN</w:t>
      </w:r>
      <w:r w:rsidRPr="00924B12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24B12">
        <w:rPr>
          <w:rFonts w:ascii="UTM-Centur" w:hAnsi="UTM-Centur"/>
          <w:color w:val="242021"/>
          <w:sz w:val="24"/>
          <w:szCs w:val="24"/>
        </w:rPr>
        <w:t>DUY THỊ HẢI HƯỜNG</w:t>
      </w:r>
      <w:r w:rsidRPr="00924B12">
        <w:rPr>
          <w:rFonts w:ascii="UTM-Centur" w:hAnsi="UTM-Centur"/>
          <w:color w:val="242021"/>
          <w:sz w:val="14"/>
          <w:szCs w:val="14"/>
        </w:rPr>
        <w:t>*</w:t>
      </w:r>
      <w:r w:rsidRPr="00924B12">
        <w:rPr>
          <w:rFonts w:ascii="UTM-Centur" w:hAnsi="UTM-Centur"/>
          <w:color w:val="242021"/>
          <w:sz w:val="14"/>
          <w:szCs w:val="14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Năm 1986, Đại hội Đảng lần thứ VI chủ trương đổi mới toàn diện đất nước. Qua các kỳ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Đại hội, Đảng Cộng sản Việt Nam đã xác định phát triển kinh tế nhiều thành phần theo định hướng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xã hội chủ nghĩa, trong đó thành phần kinh tế tư nhân ngày càng được khẳng định vị thế quan trọng,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từ việc không thừa nhận, sang thừa nhận, khuyến khích đến coi kinh tế tư nhân là “một động lực quan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trọng nhất của nền kinh tế quốc gia”. Từ thay đổi nhận thức, Đảng và Nhà nước có chính sách phù hợp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để kinh tế tư nhân phát triển bình đẳng với các thành phần kinh tế khác, đóng góp to lớn vào sự phát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triển của đất nước trong bốn mươi năm đổi mới. Bài viết làm rõ sự phát triển nhận thức của Đảng về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kinh tế tư nhân; nêu một số thành tựu, hạn chế và giải pháp phát triển mạnh mẽ kinh tế tư nhân đáp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ứng yêu cầu đất nước trong kỷ nguyên mới.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khoá: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Đảng Cộng sản Việt Nam; đổi mới; kinh tế tư nhân.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In 1986, the 6th National Congress of the Communist Party of Vietnam advocated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comprehensive reform of the country (Doi Moi). Through successive National Congresses, the Communist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Party of Vietnam has determined to develop a multi-sector economy oriented toward socialism, in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which the private economy has increasingly been affirmed as an important economic sector, evolving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from non-recognition to recognition and encouragement, and ultimately to being regarded as “one of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the most important driving forces of the national economy.” Following this shift in perception, the Party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and the State have adopted appropriate policies to enable the private economy to develop on an equal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footing with other economic sectors, making significant contributions to the country’s development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over the forty years of Doi Moi. This article clarifies the development of the Party’s perception of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the private economy; identifies several achievements and limitations; and proposes solutions for the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  <w:t>robust development of the private economy to meet the country’s requirements in the new era.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24B12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24B12">
        <w:rPr>
          <w:rFonts w:ascii="UTMCentur-Italic" w:hAnsi="UTMCentur-Italic"/>
          <w:i/>
          <w:iCs/>
          <w:color w:val="242021"/>
          <w:sz w:val="20"/>
          <w:szCs w:val="20"/>
        </w:rPr>
        <w:t>Communist Party of Vietnam; Doi Moi; private economy</w:t>
      </w:r>
      <w:r w:rsidRPr="00924B12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TRÍ TUỆ NHÂN TẠO TRONG NGHIÊN CỨU KHOA HỌC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XÃ HỘI Ở VIỆT NAM: CƠ HỘI VÀ THÁCH THỨC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PHAN KHÁNH DƯƠNG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Bài viết phân tích vai trò và cơ hội của trí tuệ nhân tạo (AI) trong nghiên cứu khoa học xã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hội tại Việt Nam Tác giả chỉ ra những lợi ích chính của AI như khả năng xử lý dữ liệu lớn, hỗ trợ xây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dựng và kiểm định giả thuyết, tăng cường hợp tác học thuật và kết nối tri thức toàn cầu. Đồng thời,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bài viết cũng nhận diện các khó khăn của các nhà nghiên cứu khoa học xã hội Việt Nam trong việc ứng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dụng AI, bao gồm hạn chế về năng lực số, chi phí, hạ tầng dữ liệu và khung pháp lý. Trên cơ sở đó, tác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giả đề xuất một số khuyến nghị nhằm phát huy tối đa tiềm năng của AI trong nghiên cứu khoa học xã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hội, đóng góp vào nâng cao chất lượng và hiệu quả của các công trình nghiên cứu.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This paper analyzes the role and opportunities of Artificial Intelligence (AI) in social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science research in Vietnam. It identifies the main benefits of AI, including its capacity to process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big data, hypothesis building and testing, enhancing academic collaboration, and global knowledge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sharing. The article also identifies challenges faced by Vietnamese social science researchers in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applying AI, including limited digital competence, high costs, infrastructure constraints, and the lack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of legal and ethical frameworks. Based on these findings, the author provides recommendations to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maximize the potential of AI in social science research, thereby contributing to improving the quality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and effectiveness of academic works.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Artificial Intelligence; Social science research; Vietnam; Opportunities; Challenges;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Recommendations.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Trí tuệ nhân tạo; Nghiên cứu khoa học xã hội; Việt Nam; Cơ hội; Khó khăn; Khuyến nghị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PHÁT HUY VAI TRÒ CỦA NỮ DOANH NHÂN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TRONG KHU VỰC KINH TẾ TƯ NHÂN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PHẠM THỊ NGỌC DUNG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Đại hội XIV của Đảng tiếp tục khẳng định kinh tế tư nhân là một trong những động lực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quan trọng nhất của nền kinh tế quốc dân. Trong quá trình đó, nữ doanh nhân ngày càng có vai trò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nổi bật trong đổi mới sáng tạo, chuyển đổi số và phát triển bền vững. Hiện nay, doanh nghiệp do phụ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nữ làm chủ chiếm khoảng 24-27% tổng số doanh nghiệp tại Việt Nam, thuộc nhóm cao trong ASEAN.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Tuy nhiên, việc phát huy vai trò nữ doanh nhân vẫn còn nhiều hạn chế do rào cản thể chế, khó khăn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trong tiếp cận nguồn lực và định kiến giới. Trên cơ sở phân tích quan điểm của Đảng về phát triển kinh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tế tư nhân và xây dựng đội ngũ doanh nhân trong thời kỳ mới, bài viết làm rõ thực trạng, những vấn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đề đặt ra và đề xuất giải pháp nhằm phát huy vai trò nữ doanh nhân gắn với hoàn thiện thể chế phát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triển kinh tế tư nhân hiện nay.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Nữ doanh nhân; Kinh tế tư nhân; Hoàn thiện thể chế; Chuyển đổi số.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lastRenderedPageBreak/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The 14th National Congress of the Communist Party of Vietnam reaffirmed that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private economy is one of the most important driving forces of the national economy. In this process,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women entrepreneurs play an increasingly prominent role in innovation, digital transformation,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and sustainable development. Currently, women-owned enterprises account for approximately 24-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27% of all enterprises in Vietnam, among the highest rates in ASEAN. However, promoting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role of women entrepreneurs still faces many limitations due to institutional barriers, difficulties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in accessing resources, and gender stereotypes. Based on an analysis of the Party’s viewpoints on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developing the private economy and building a contingent of entrepreneurs in the new period,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article clarifies the current situation and emerging issues, and proposes solutions to promote the role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of women entrepreneurs in association with improving the institutional framework for private sector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development.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Women entrepreneurs; private economy; institutional improvement; digital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transformation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SẮP XẾP ĐƠN VỊ HÀNH CHÍNH CẤP XÃ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NHẰM MỞ RỘNG KHÔNG GIAN PHÁT TRIỂN BỀN VỮNG: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TỪ THỰC TIỄN TỈNH HÀ TĨNH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NGUYỄN VĂN ĐẠI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Nghiên cứu về tổ chức bộ máy gắn với tổ chức đơn vị hành chính là nội dung có ý nghĩa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quan trọng trong khoa học chính trị pháp lý ở các quốc gia và Việt Nam. Để quản trị hiệu quả, phát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triển bền vững, quốc gia cần một hệ thống thể chế phù hợp, trọng tâm là mô hình tổ chức chính quyền.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Việt Nam đang vận hành mô hình chính quyền sau sáp nhập đặt ra những yêu cầu mới về tổ chức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không gian hành chính, việc tổng kết thực tiễn, củng cố cơ sở lý luận và tiếp tục nghiên cứu, hoàn thiện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khung pháp lý là yêu cầu cấp thiết. Trên cơ sở đánh giá thực trạng tại một địa phương, bài viết phân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tích kết quả đạt được, vấn đề đặt, đề xuất một số giải pháp để bảo đảm ổn định và phát triển.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Đơn vị hành chính cấp xã, tổ chức sắp xếp, quản trị địa phương, phát triển bền vững.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Research on the organization of the apparatus in connection with the organisation of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administrative units is an important subject in political and legal science, both internationally and in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Vietnam. Effective governance and sustainable development require a suitable institutional system, at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the center lies the model of government organization. Vietnam is currently operating a model of local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government following administrative mergers, which raises new requirements for the organization of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administrative space; reviewing practical, strengthening theoretical foundations, and further refining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the legal framework are therefore urgent tasks. On the basic of an assessment of the situation in a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locality, this article analyzes the results achieved and the issues arising and proposes solutions to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ensure stability and development.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The commune-level administrative unit organizes local arrangement, governance, and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sustainable development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QUYỀN GIỮ BÍ MẬT CÁ NHÂN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CỦA BỊ HẠI LÀ NGƯỜI CHƯA THÀNH NIÊN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TRONG TỐ TỤNG HÌNH SỰ VIỆT NAM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PHẠM THANH TÚ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Tố tụng hình sự là lĩnh vực tác động mạnh mẽ đến việc bảo đảm quyền con người, trong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đó có quyền giữ bí mật cá nhân. Đối với bị hại là người chưa thành niên, nhóm chủ thể dễ tổn thương và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nguy cơ bị xâm phạm quyền này trong quá trình tố tụng càng trở nên nghiêm trọng. Dù pháp luật Việt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Nam đã có bước tiến đáng kể trong việc nội luật hóa các chuẩn mực quốc tế về quyền trẻ em, nhất là với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Luật Tư pháp người chưa thành niên năm 2024 nhưng các quy định về bảo vệ bí mật cá nhân vẫn còn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thiếu đồng bộ, chưa toàn diện. Trên cơ sở phân tích pháp luật hiện hành, bài viết đánh giá tính thống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nhất, phù hợp của các quy định và đưa ra kiến nghị hoàn thiện của các quy định tố tụng hình sự liên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quan đến quyền này nhằm tăng cường bảo đảm quyền con người cho bị hại là người chưa thành niên.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khoá: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Bị hại; Người chưa thành niên; Quyền giữ bí mật cá nhân; Bí mật đời tư; TTHS.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Criminal proceedings profoundly impact the protection of human rights, especially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the right to personal privacy. For minor victims, who are inherently vulnerable, the risk of privacy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violations become more pronounced throughout the criminal justice process. Although Vietnamese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criminal procedural law has made notable progress in integrating international children’s rights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standards, particularly with the promulgation of the 2024 Law on Juvenile Justice, its framework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for safeguarding the personal privacy of minor victims remains fragmented and incomplete. On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basic of an analysis of current law, this paper assesses the consistency and appropriateness of these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provisions and pút forward recommendations for improving the criminal procedure rules relating to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this right, so as to strengthen the protection of the human rights of minor victims.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Victim; Minor/juvenile; Right to personal privacy; Personal privacy; Criminal procedure.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THỰC THI TRÁCH NHIỆM XÃ HỘI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ĐỐI VỚI DOANH NGHIỆP KINH DOANH BẤT ĐỘNG SẢN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TẠI KHU VỰC ĐÔ THỊ Ở VIỆT NAM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VŨ THẾ HOÀI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NGUYỄN PHẠM THANH HOA</w:t>
      </w:r>
      <w:r w:rsidRPr="009F64DC">
        <w:rPr>
          <w:rFonts w:ascii="UTM-Centur" w:hAnsi="UTM-Centur"/>
          <w:color w:val="242021"/>
          <w:sz w:val="14"/>
          <w:szCs w:val="14"/>
        </w:rPr>
        <w:t>**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Bài viết phân tích về trách nhiệm xã hội của doanh nghiệp (CSR) kinh doanh bất động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sản, tập trung phân biệt giữa nghĩa vụ pháp lý bắt buộc và CSR theo nghĩa hẹp trong quá trình thực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hiện chính sách nhà ở xã hội (NƠXH) cho người thu nhập thấp tại khu vực đô thị ở Việt Nam. Trên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nền tảng của lý thuyết mô hình kim tự tháp của Carroll và lý thuyết các bên liên quan, bài viết phân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tích các quy định pháp luật hiện hành về nghĩa vụ của chủ đầu tư; đánh giá thực trạng triển khai, từ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những thành tựu của các tập đoàn lớn đến những rào cản trên thực tế để đề xuất một số kiến nghị theo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hướng đánh giá điều kiện áp dụng và tăng cường tính minh bạch, giám sát các cơ chế pháp lý hiện có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thay vì chỉ đề xuất lại những nội dung pháp luật đã giải quyết trong thực tiễn.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trách nhiệm xã hội của doanh nghiệp (CSR), nhà ở xã hội (NƠXH), người thu nhập thấp,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bất động sản (BĐS).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This article analyzes the Corporate Social Responsibility (CSR) of real estate business,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focusing on distinction between mandatory legal obligations and CSR in the narrow sence in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implementation of social housing policies for low-income urban residents in Vietnam. Drawing on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Carroll’s Pyramid model of Corporate Social Responsibility and on Stakeholder Theory, the article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examines current legal provisions on the obligations of project developers and assesses their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implementation in practice, from the achievements of large corporations to the barriers encoutered.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On that basis, it proposes policy recommendations directed at assessing the conditions for applying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existing legal mechanisms and at enhancing enhancing their transparency monitoring, rather than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merely re-proposing matters that current law has already addressed in practice.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Corporate Social Responsibility (CSR), social housing, low-income earners, real estate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sector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TAM GIÁO ĐỒNG NGUYÊN -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LOẠI HÌNH BẢN THỂ ĐỒNG NHẤT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VÀ THỜ CÚNG BIỂU TƯỢNG Ở VIỆT NAM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ĐỖ THỊ MINH THẢO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Tam giáo đồng nguyên là một hiện tượng tiêu biểu trong lịch sử tư tưởng và đời sống tôn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giáo, tín ngưỡng ở Việt Nam, thể hiện sự tương tác, dung hợp giữa Nho giáo, Phật giáo và Đạo giáo. Bài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viết tiếp cận hiện tượng này từ góc độ loại hình học, tập trung phân tích tính đồng nguyên trên phương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diện bản thể và sự biểu hiện của nó trong thờ cúng biểu tượng. Trên cơ sở khảo sát tư duy đồng nhất, sự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dung hợp tư tưởng và một số hình thức thờ cúng ở Việt Nam, bài viết cho rằng Tam giáo đồng nguyên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không chỉ biểu hiện ở sự hòa hợp về thế giới quan và nhân sinh quan, mà còn có thể được lý giải từ xu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hướng quy các con đường giáo hóa và tu dưỡng về những nguyên lý chung của đời sống con người. Sự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dung hợp này được biểu hiện trong quá trình tiếp biến Nho, Phật, Đạo với tín ngưỡng bản địa và các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hình thức thờ cúng biểu tượng, đặc biệt ở vùng Đồng bằng Bắc Bộ. Qua đó, bài viết góp phần làm rõ đặc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điểm của Tam giáo đồng nguyên trong lịch sử tư tưởng và văn hóa tôn giáo Việt Nam.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Tam giáo đồng nguyên; bản thể; tư duy đồng nhất; thờ cúng biểu tượng; văn hóa tôn giáo.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The syncretism of these traditions represents a highly multifaceted phenomenon of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ideological and intellectual intersection. The terminology of this syncretism denotes not merely the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integration among Confucianism, Buddhism, and Taoism, but also posits that these three teachings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spring from a single, identical ontological root. This article aims to analyse the typological dimensions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of this shared origin, specifically focusing on ontological unity (Three roots, one source). In doing so, it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highlights the role, significance, and value of this phenomenon in generating cultural momentum for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religion.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The Harmonisation of the Three Teachings, consciousness of unity, historical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consciousness, iconographic worship, ontology</w:t>
      </w:r>
      <w:r w:rsidRPr="009F64DC">
        <w:t xml:space="preserve"> </w:t>
      </w:r>
    </w:p>
    <w:p w:rsidR="009F64DC" w:rsidRDefault="009F64DC"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QUAN HỆ HỢP TÁC ASEAN - NHẬT BẢN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TRONG THẾ KỶ XXI VÀ TÁC ĐỘNG THÚC ĐẨY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QUAN HỆ VIỆT NAM - NHẬT BẢN</w:t>
      </w:r>
      <w:r w:rsidRPr="009F64DC">
        <w:rPr>
          <w:rFonts w:ascii="UTM-CenturBold" w:hAnsi="UTM-CenturBold"/>
          <w:b/>
          <w:bCs/>
          <w:color w:val="242021"/>
          <w:sz w:val="20"/>
          <w:szCs w:val="20"/>
        </w:rPr>
        <w:t>*</w:t>
      </w:r>
      <w:r w:rsidRPr="009F64DC">
        <w:rPr>
          <w:rFonts w:ascii="UTM-CenturBold" w:hAnsi="UTM-CenturBold"/>
          <w:b/>
          <w:bCs/>
          <w:color w:val="242021"/>
          <w:sz w:val="20"/>
          <w:szCs w:val="20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ĐÀM HUY HOÀNG</w:t>
      </w:r>
      <w:r w:rsidRPr="009F64DC">
        <w:rPr>
          <w:rFonts w:ascii="UTM-Centur" w:hAnsi="UTM-Centur"/>
          <w:color w:val="242021"/>
          <w:sz w:val="14"/>
          <w:szCs w:val="14"/>
        </w:rPr>
        <w:t>**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Được thiết lập từ 1973, đến nay quan hệ ASEAN - Nhật Bản đã trải qua hơn 50 năm phát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triển. Tuy nhiên chỉ từ khi bước vào thế kỷ XXI, mối quan hệ này mới phát triển mạnh mẽ và tạo nên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những bước đột phá. Sự phát triển của quan hệ ASEAN - Nhật Bản dựa trên nền tảng pháp lý vững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chắc và những thể chế hợp tác chặt chẽ hiện diện trong tổng thể mối quan hệ nói chung và trong từng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lĩnh vực hợp tác nói riêng.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Những kết quả đạt được của quan hệ ASEAN - Nhật Bản đã góp phần thúc đẩy quan hệ Việt Nam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- Nhật Bản. Dưới tác động của mối quan hệ này, các lĩnh vực hợp tác giữa hai bên được mở rộng hơn.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Các kênh tương tác giữa Việt Nam và Nhật Bản ngày càng nhiều, góp phần thúc đẩy quan hệ hợp tác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Việt Nam - Nhật Bản trở nên mật thiết và hiệu quả hơn. Bài viết phân tích quá trình phát triển quan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hệ ASEAN - Nhật Bản từ đầu thế kỷ XXI đến nay, từ đó làm rõ những tác động tích cực của mối quan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hệ đó đối với sự phát triển của quan hệ Việt Nam - Nhật Bản.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ASEAN; Nhật Bản; Việt Nam; quan hệ hợp tác.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Formally established in 1973, ASEAN-Japan relations have evolved over more than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five decades. However, it was not until the beginning of the twenty-first century that the relationship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began to expand dynamically, marking a series of significant breakthroughs. Its development has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rested on a solid legal foundation and closely coordinated cooperative mechanisms, both in the broader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bilateral framework and in specific areas of cooperation.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The achievements of ASEAN-Japan relations have also contributed to the promotion of VietnamJapan relations. Under the impact of this relationship, the areas of cooperation between the two sides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have been further broadened. Channels of interaction between Vietnam and Japan have become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increasingly numerous, thereby helping to make Vietnam- Japan cooperative relations closer and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more effective. This article analyzes the development of ASEAN-Japan relations from the beginning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of the twenty-first century to the present, thereby clarifying the positive impacts of this relationship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on the development of Vietnam-Japan relations.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ASEAN; Japan; Vietnam; cooperative relations</w:t>
      </w:r>
      <w:r w:rsidRPr="009F64DC">
        <w:t xml:space="preserve"> </w:t>
      </w:r>
    </w:p>
    <w:p w:rsidR="000E5976" w:rsidRDefault="009F64DC">
      <w:pPr>
        <w:rPr>
          <w:rFonts w:ascii="UTMCentur-Italic" w:hAnsi="UTMCentur-Italic"/>
          <w:i/>
          <w:iCs/>
          <w:color w:val="242021"/>
          <w:sz w:val="20"/>
          <w:szCs w:val="20"/>
        </w:rPr>
      </w:pP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t>LỰC LƯỢNG SẢN XUẤT CHẤT LƯỢNG MỚI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Ở TRUNG QUỐC VÀ HÀM Ý CHÍNH SÁCH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  <w:t>CHO VIỆT NAM</w:t>
      </w:r>
      <w:r w:rsidRPr="009F64DC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VŨ MẠNH TOÀN</w:t>
      </w:r>
      <w:r w:rsidRPr="009F64DC">
        <w:rPr>
          <w:rFonts w:ascii="UTM-Centur" w:hAnsi="UTM-Centur"/>
          <w:color w:val="242021"/>
          <w:sz w:val="14"/>
          <w:szCs w:val="14"/>
        </w:rPr>
        <w:t>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-Centur" w:hAnsi="UTM-Centur"/>
          <w:color w:val="242021"/>
          <w:sz w:val="24"/>
          <w:szCs w:val="24"/>
        </w:rPr>
        <w:t>ĐỖ MINH HỢP</w:t>
      </w:r>
      <w:r w:rsidRPr="009F64DC">
        <w:rPr>
          <w:rFonts w:ascii="UTM-Centur" w:hAnsi="UTM-Centur"/>
          <w:color w:val="242021"/>
          <w:sz w:val="14"/>
          <w:szCs w:val="14"/>
        </w:rPr>
        <w:t>**</w:t>
      </w:r>
      <w:r w:rsidRPr="009F64DC">
        <w:rPr>
          <w:rFonts w:ascii="UTM-Centur" w:hAnsi="UTM-Centur"/>
          <w:color w:val="242021"/>
          <w:sz w:val="14"/>
          <w:szCs w:val="14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Bài viết phân tích bối cảnh hình thành, nội hàm, chính sách và kết quả phát triển lực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lượng sản xuất chất lượng mới (LLSXCLM) ở Trung Quốc trong điều kiện cách mạng khoa học - công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nghệ, chuyển đổi số và chuyển đổi xanh. Trên cơ sở lý luận của chủ nghĩa Mác về lực lượng sản xuất,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bài viết làm rõ sự biến đổi về chất của người lao động, tư liệu lao động, đối tượng lao động và phương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thức kết hợp các yếu tố sản xuất. Thực tiễn Trung Quốc cho thấy LLSXCLM góp phần nâng cao năng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lực đổi mới khoa học - công nghệ, chuyển dịch cơ cấu ngành, phát triển kinh tế số, tái cấu trúc không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gian phát triển và thúc đẩy tăng trưởng xanh. Từ đó, bài viết đề xuất một số hàm ý cho Việt Nam về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đổi mới sáng tạo, chuyển đổi số, phát triển nguồn nhân lực chất lượng cao, tăng trưởng xanh, phát triển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vùng và hoàn thiện thể chế. Việc tham khảo kinh nghiệm Trung Quốc cần được thực hiện có chọn lọc,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phù hợp với điều kiện phát triển của Việt Nam.</w:t>
      </w:r>
    </w:p>
    <w:p w:rsidR="000E5976" w:rsidRDefault="000E5976">
      <w:pPr>
        <w:rPr>
          <w:rFonts w:ascii="UTMCentur-Italic" w:hAnsi="UTMCentur-Italic"/>
          <w:i/>
          <w:iCs/>
          <w:color w:val="242021"/>
          <w:sz w:val="20"/>
          <w:szCs w:val="20"/>
        </w:rPr>
      </w:pPr>
      <w:r w:rsidRPr="000E5976">
        <w:rPr>
          <w:rFonts w:ascii="UTMCentur-Italic" w:hAnsi="UTMCentur-Italic"/>
          <w:b/>
          <w:i/>
          <w:iCs/>
          <w:color w:val="242021"/>
          <w:sz w:val="20"/>
          <w:szCs w:val="20"/>
        </w:rPr>
        <w:t>Từ khóa:</w:t>
      </w:r>
      <w:r>
        <w:rPr>
          <w:rFonts w:ascii="UTMCentur-Italic" w:hAnsi="UTMCentur-Italic"/>
          <w:i/>
          <w:iCs/>
          <w:color w:val="242021"/>
          <w:sz w:val="20"/>
          <w:szCs w:val="20"/>
        </w:rPr>
        <w:t xml:space="preserve"> Lực lượng sản xuất chất lượng mới; người lao đọng; khoa học và công nghệ.</w:t>
      </w:r>
    </w:p>
    <w:p w:rsidR="009F64DC" w:rsidRDefault="009F64DC"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This article analyzes the context of emergence, the conceptual content, the policies, and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the development outcomes of new quality productive forces (NQPF) in China amid the scientific and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technological revolution, digital transformation, and green transition. Drawing on Marxist theory of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productive forces, the article clarifies the qualitative changes in workers, means of labor, objects of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lastRenderedPageBreak/>
        <w:t>labor, and the ways in which factors of production are combined. China’s experience shows that NQPF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have contributed to enhancing scientific and technological innovation capacity, shifting the industrial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structure, developing the digital economy, restructuring development space, and promoting green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growth. On that basis, the article proposes several implications for Vietnam regarding innovation,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digital transformation, high-quality human resource development, green growth, regional development,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and institutional improvement. Lessons from China’s experience should be drawn selectively and in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  <w:t>accordance with Vietnam’s development conditions.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9F64DC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9F64DC">
        <w:rPr>
          <w:rFonts w:ascii="UTMCentur-Italic" w:hAnsi="UTMCentur-Italic"/>
          <w:i/>
          <w:iCs/>
          <w:color w:val="242021"/>
          <w:sz w:val="20"/>
          <w:szCs w:val="20"/>
        </w:rPr>
        <w:t>New quality productive forces; workers; science and technology</w:t>
      </w:r>
      <w:r w:rsidRPr="009F64DC">
        <w:t xml:space="preserve"> </w:t>
      </w:r>
    </w:p>
    <w:p w:rsidR="000E5976" w:rsidRDefault="000E5976"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t>PHÁT TRIỂN KINH TẾ TƯ NHÂN Ở TRUNG QUỐC:</w:t>
      </w:r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br/>
        <w:t>NHÌN TỪ NHỮNG CHỦ TRƯƠNG LỚN</w:t>
      </w:r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br/>
      </w:r>
      <w:r w:rsidRPr="000E5976">
        <w:rPr>
          <w:rFonts w:ascii="UTM-Centur" w:hAnsi="UTM-Centur"/>
          <w:color w:val="242021"/>
          <w:sz w:val="24"/>
          <w:szCs w:val="24"/>
        </w:rPr>
        <w:t>PHAM THÁI QUỐC</w:t>
      </w:r>
      <w:r w:rsidRPr="000E5976">
        <w:rPr>
          <w:rFonts w:ascii="UTM-Centur" w:hAnsi="UTM-Centur"/>
          <w:color w:val="242021"/>
          <w:sz w:val="14"/>
          <w:szCs w:val="14"/>
        </w:rPr>
        <w:t>*</w:t>
      </w:r>
      <w:r w:rsidRPr="000E5976">
        <w:rPr>
          <w:rFonts w:ascii="UTM-Centur" w:hAnsi="UTM-Centur"/>
          <w:color w:val="242021"/>
          <w:sz w:val="14"/>
          <w:szCs w:val="14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Sau gần 50 năm phát triển, hiện khu vực kinh tế tư nhân ở Trung Quốc đóng góp hơn một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nửa tổng đầu tư tài sản cố định; doanh thu thuế và tổng ngoại thương. Bộ phận này cũng chiếm hơn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60% tổng sản phẩm quốc nội, hơn 70% đổi mới công nghệ, hơn 80% việc làm đô thị và 90% tổng số các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thực thể thị trường tại Trung Quốc. Bài viết khái quát các chủ trương lớn của Trung Quốc trực tiếp và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gián tiếp liên quan đến phát triển kinh tế tư nhân, chỉ ra một số rào cản, cũng như đánh giá bước phát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triển vượt bậc của kinh tế tư nhân ở Trung Quốc.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Kinh tế tư nhân; Trung Quốc; doanh nghiệp tư nhân.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After nearly 50 years of development, the private sector in China now contributes more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than half of total fixed asset investment, tax revenue, and total foreign trade. It also accounts for over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60% of the gross domestic product, over 70% of technological innovation, over 80% of urban employment,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and 90% of all market entities in China. This article outlines China’s major policies bearing directly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and indirectly on the development of the private sector, identifies a number of barriers, and assesses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the remarkable progress this sector has made.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Private economy; China; private enterprise</w:t>
      </w:r>
      <w:r w:rsidRPr="000E5976">
        <w:t xml:space="preserve"> </w:t>
      </w:r>
    </w:p>
    <w:p w:rsidR="000E5976" w:rsidRDefault="000E5976"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t>QUAN HỆ VIỆT NAM - LÀO VỀ QUÂN SỰ</w:t>
      </w:r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br/>
        <w:t>TRONG KHÁNG CHIẾN CHỐNG MỸ, CỨU NƯỚC</w:t>
      </w:r>
      <w:r w:rsidRPr="000E5976">
        <w:rPr>
          <w:rFonts w:ascii="UTM-CenturBold" w:hAnsi="UTM-CenturBold"/>
          <w:b/>
          <w:bCs/>
          <w:color w:val="242021"/>
          <w:sz w:val="32"/>
          <w:szCs w:val="32"/>
        </w:rPr>
        <w:br/>
        <w:t>(1954-1975)</w:t>
      </w:r>
      <w:r w:rsidRPr="000E5976">
        <w:rPr>
          <w:rFonts w:ascii="UTM-CenturBold" w:hAnsi="UTM-CenturBold"/>
          <w:b/>
          <w:bCs/>
          <w:color w:val="242021"/>
          <w:sz w:val="20"/>
          <w:szCs w:val="20"/>
        </w:rPr>
        <w:t>(*)</w:t>
      </w:r>
      <w:r w:rsidRPr="000E5976">
        <w:rPr>
          <w:rFonts w:ascii="UTM-CenturBold" w:hAnsi="UTM-CenturBold"/>
          <w:b/>
          <w:bCs/>
          <w:color w:val="242021"/>
          <w:sz w:val="20"/>
          <w:szCs w:val="20"/>
        </w:rPr>
        <w:br/>
      </w:r>
      <w:r w:rsidRPr="000E5976">
        <w:rPr>
          <w:rFonts w:ascii="UTM-Centur" w:hAnsi="UTM-Centur"/>
          <w:color w:val="242021"/>
          <w:sz w:val="24"/>
          <w:szCs w:val="24"/>
        </w:rPr>
        <w:t>LÊ THỊ THU HẰNG</w:t>
      </w:r>
      <w:r w:rsidRPr="000E5976">
        <w:rPr>
          <w:rFonts w:ascii="UTM-Centur" w:hAnsi="UTM-Centur"/>
          <w:color w:val="242021"/>
          <w:sz w:val="14"/>
          <w:szCs w:val="14"/>
        </w:rPr>
        <w:t>*</w:t>
      </w:r>
      <w:r w:rsidRPr="000E5976">
        <w:rPr>
          <w:rFonts w:ascii="UTM-Centur" w:hAnsi="UTM-Centur"/>
          <w:color w:val="242021"/>
          <w:sz w:val="14"/>
          <w:szCs w:val="14"/>
        </w:rPr>
        <w:br/>
      </w:r>
      <w:r w:rsidRPr="000E5976">
        <w:rPr>
          <w:rFonts w:ascii="UTM-Centur" w:hAnsi="UTM-Centur"/>
          <w:color w:val="242021"/>
          <w:sz w:val="24"/>
          <w:szCs w:val="24"/>
        </w:rPr>
        <w:t>VŨ THỊ THU GIANG</w:t>
      </w:r>
      <w:r w:rsidRPr="000E5976">
        <w:rPr>
          <w:rFonts w:ascii="UTM-Centur" w:hAnsi="UTM-Centur"/>
          <w:color w:val="242021"/>
          <w:sz w:val="14"/>
          <w:szCs w:val="14"/>
        </w:rPr>
        <w:t>**</w:t>
      </w:r>
      <w:r w:rsidRPr="000E5976">
        <w:rPr>
          <w:rFonts w:ascii="UTM-Centur" w:hAnsi="UTM-Centur"/>
          <w:color w:val="242021"/>
          <w:sz w:val="14"/>
          <w:szCs w:val="14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Tóm tắt: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Trong cuộc kháng chiến chống Mỹ, cứu nước (1954-1975), quan hệ Việt Nam - Lào là mối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quan hệ liên minh chiến lược đặc biệt giữa hai dân tộc. Trong cuộc kháng chiến chống Mỹ, cứu nước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(1954-1975), quan hệ Việt Nam - Lào là liên minh chiến đấu đặc biệt và liên minh chiến lược giữa hai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dân tộc. Cùng chống đế quốc Mỹ, hai nước phối hợp chặt chẽ trên các mặt trận quân sự, chính trị và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ngoại giao. Bài viết tập trung làm rõ hợp tác quân sự, trong đó Việt Nam cử cố vấn và chuyên gia quân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sự hỗ trợ Lào xây dựng lực lượng vũ trang, đào tạo cán bộ, củng cố căn cứ địa và phối hợp tác chiến theo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phương châm “giúp bạn là mình tự giúp mình”, đồng thời phát huy vai trò chủ động của cách mạng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Lào. Thắng lợi năm 1975 là kết quả tiêu biểu của tình đoàn kết chiến đấu và sự giúp đỡ toàn diện giữa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hai nước.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Từ khóa: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Quan hệ Việt Nam-Lào; liên minh quân sự kháng chiến chống Mỹ, đoàn kết chiến đấu;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1954-1975.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Abstract: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During the Resistance War against the United States for National Salvation (1954-1975),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Vietnam-Laos relations developed into a special combat alliance and strategic alliance between the two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nations. In their common struggle against US imperialism, the two countries closely coordinated their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efforts on the military, political, and diplomatic fronts. This article focuses on military cooperation,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particularly Vietnam’s deployment of military advisors and experts to assist Laos in building its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armed forces, training personnel, consolidating revolutionary base areas, and coordinating military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operations in accordance with the principle that “helping our friends is helping ourselves” while at the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same time promoting the proactive role of the Lao revolution. The victory in 1975 was a significant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manifestation of the two countries’ combat solidarity and comprehensive mutual assistance.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</w:r>
      <w:r w:rsidRPr="000E5976">
        <w:rPr>
          <w:rFonts w:ascii="UTMCentur-BoldItalic" w:hAnsi="UTMCentur-BoldItalic"/>
          <w:b/>
          <w:bCs/>
          <w:i/>
          <w:iCs/>
          <w:color w:val="242021"/>
          <w:sz w:val="20"/>
          <w:szCs w:val="20"/>
        </w:rPr>
        <w:t xml:space="preserve">Keywords: 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t>Vietnam-Laos relations; military alliance; Resistance War against the United States</w:t>
      </w:r>
      <w:r w:rsidRPr="000E5976">
        <w:rPr>
          <w:rFonts w:ascii="UTMCentur-Italic" w:hAnsi="UTMCentur-Italic"/>
          <w:i/>
          <w:iCs/>
          <w:color w:val="242021"/>
          <w:sz w:val="20"/>
          <w:szCs w:val="20"/>
        </w:rPr>
        <w:br/>
        <w:t>for National Salvation; combat solidarity; 1954-1975</w:t>
      </w:r>
      <w:r w:rsidRPr="000E5976">
        <w:t xml:space="preserve"> </w:t>
      </w:r>
    </w:p>
    <w:p w:rsidR="000E5976" w:rsidRDefault="000E5976">
      <w:bookmarkStart w:id="0" w:name="_GoBack"/>
      <w:bookmarkEnd w:id="0"/>
    </w:p>
    <w:sectPr w:rsidR="000E5976" w:rsidSect="00B44F2E">
      <w:pgSz w:w="11907" w:h="16840" w:code="9"/>
      <w:pgMar w:top="1134" w:right="1134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M-CenturBold">
    <w:altName w:val="Times New Roman"/>
    <w:panose1 w:val="00000000000000000000"/>
    <w:charset w:val="00"/>
    <w:family w:val="roman"/>
    <w:notTrueType/>
    <w:pitch w:val="default"/>
  </w:font>
  <w:font w:name="UTM-Centur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UTMCentur-BoldItalic">
    <w:altName w:val="Times New Roman"/>
    <w:panose1 w:val="00000000000000000000"/>
    <w:charset w:val="00"/>
    <w:family w:val="roman"/>
    <w:notTrueType/>
    <w:pitch w:val="default"/>
  </w:font>
  <w:font w:name="UTMCentur-Ital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E8"/>
    <w:rsid w:val="000E5976"/>
    <w:rsid w:val="004E25E8"/>
    <w:rsid w:val="004E2BDF"/>
    <w:rsid w:val="00924B12"/>
    <w:rsid w:val="009F64DC"/>
    <w:rsid w:val="00B44F2E"/>
    <w:rsid w:val="00D6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4F24F-5344-44D0-AD08-40D3FD3A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24B12"/>
    <w:rPr>
      <w:rFonts w:ascii="UTM-CenturBold" w:hAnsi="UTM-CenturBold" w:hint="default"/>
      <w:b/>
      <w:bCs/>
      <w:i w:val="0"/>
      <w:iCs w:val="0"/>
      <w:color w:val="242021"/>
      <w:sz w:val="32"/>
      <w:szCs w:val="32"/>
    </w:rPr>
  </w:style>
  <w:style w:type="character" w:customStyle="1" w:styleId="fontstyle21">
    <w:name w:val="fontstyle21"/>
    <w:basedOn w:val="DefaultParagraphFont"/>
    <w:rsid w:val="00924B12"/>
    <w:rPr>
      <w:rFonts w:ascii="UTM-Centur" w:hAnsi="UTM-Centur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31">
    <w:name w:val="fontstyle31"/>
    <w:basedOn w:val="DefaultParagraphFont"/>
    <w:rsid w:val="00924B12"/>
    <w:rPr>
      <w:rFonts w:ascii="TimesNewRomanPSMT" w:hAnsi="TimesNewRomanPSMT" w:hint="default"/>
      <w:b w:val="0"/>
      <w:bCs w:val="0"/>
      <w:i w:val="0"/>
      <w:iCs w:val="0"/>
      <w:color w:val="242021"/>
      <w:sz w:val="12"/>
      <w:szCs w:val="12"/>
    </w:rPr>
  </w:style>
  <w:style w:type="character" w:customStyle="1" w:styleId="fontstyle41">
    <w:name w:val="fontstyle41"/>
    <w:basedOn w:val="DefaultParagraphFont"/>
    <w:rsid w:val="00924B12"/>
    <w:rPr>
      <w:rFonts w:ascii="TimesNewRomanPS-ItalicMT" w:hAnsi="TimesNewRomanPS-ItalicMT" w:hint="default"/>
      <w:b w:val="0"/>
      <w:bCs w:val="0"/>
      <w:i/>
      <w:iCs/>
      <w:color w:val="242021"/>
      <w:sz w:val="20"/>
      <w:szCs w:val="20"/>
    </w:rPr>
  </w:style>
  <w:style w:type="character" w:customStyle="1" w:styleId="fontstyle51">
    <w:name w:val="fontstyle51"/>
    <w:basedOn w:val="DefaultParagraphFont"/>
    <w:rsid w:val="00924B12"/>
    <w:rPr>
      <w:rFonts w:ascii="UTMCentur-BoldItalic" w:hAnsi="UTMCentur-BoldItalic" w:hint="default"/>
      <w:b/>
      <w:bCs/>
      <w:i/>
      <w:iCs/>
      <w:color w:val="242021"/>
      <w:sz w:val="20"/>
      <w:szCs w:val="20"/>
    </w:rPr>
  </w:style>
  <w:style w:type="character" w:customStyle="1" w:styleId="fontstyle61">
    <w:name w:val="fontstyle61"/>
    <w:basedOn w:val="DefaultParagraphFont"/>
    <w:rsid w:val="00924B12"/>
    <w:rPr>
      <w:rFonts w:ascii="UTMCentur-Italic" w:hAnsi="UTMCentur-Italic" w:hint="default"/>
      <w:b w:val="0"/>
      <w:bCs w:val="0"/>
      <w:i/>
      <w:iCs/>
      <w:color w:val="242021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59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597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E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1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4533</Words>
  <Characters>25840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MaiHoa</dc:creator>
  <cp:keywords/>
  <dc:description/>
  <cp:lastModifiedBy>MaiHoa</cp:lastModifiedBy>
  <cp:revision>3</cp:revision>
  <dcterms:created xsi:type="dcterms:W3CDTF">2026-09-28T08:55:00Z</dcterms:created>
  <dcterms:modified xsi:type="dcterms:W3CDTF">2026-09-28T09:09:00Z</dcterms:modified>
</cp:coreProperties>
</file>