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977" w:rsidRPr="00965081" w:rsidRDefault="009E1977" w:rsidP="00965081">
      <w:pPr>
        <w:pStyle w:val="t"/>
        <w:pageBreakBefore w:val="0"/>
      </w:pPr>
      <w:bookmarkStart w:id="0" w:name="_Toc150343732"/>
      <w:bookmarkStart w:id="1" w:name="_Toc150522841"/>
      <w:bookmarkStart w:id="2" w:name="_Toc150523101"/>
      <w:bookmarkStart w:id="3" w:name="_Toc150525364"/>
      <w:bookmarkStart w:id="4" w:name="_Toc150525594"/>
      <w:r w:rsidRPr="00965081">
        <w:t>21</w:t>
      </w:r>
      <w:r w:rsidR="000E73EE">
        <w:rPr>
          <w:lang w:val="vi-VN"/>
        </w:rPr>
        <w:t>7</w:t>
      </w:r>
      <w:r w:rsidRPr="00965081">
        <w:t>. THỰC VẬT ĂN ĐỘNG VẬT (Carnivóre planta)</w:t>
      </w:r>
      <w:r w:rsidR="00845F64">
        <w:t>,</w:t>
      </w:r>
    </w:p>
    <w:p w:rsidR="00696BED" w:rsidRDefault="009E1977" w:rsidP="009E1977">
      <w:pPr>
        <w:suppressAutoHyphens w:val="0"/>
        <w:spacing w:before="40" w:after="40" w:line="264" w:lineRule="auto"/>
        <w:jc w:val="both"/>
        <w:rPr>
          <w:rFonts w:cs="Times New Roman"/>
          <w:color w:val="000000"/>
          <w:sz w:val="28"/>
          <w:u w:color="000000"/>
          <w:lang w:val="vi-VN"/>
          <w14:cntxtAlts w14:val="0"/>
        </w:rPr>
      </w:pPr>
      <w:r w:rsidRPr="009E1977">
        <w:rPr>
          <w:rFonts w:cs="Times New Roman"/>
          <w:color w:val="000000"/>
          <w:sz w:val="28"/>
          <w:u w:color="000000"/>
          <w14:cntxtAlts w14:val="0"/>
        </w:rPr>
        <w:t xml:space="preserve">những </w:t>
      </w:r>
      <w:r w:rsidRPr="009E1977">
        <w:rPr>
          <w:rFonts w:cs="Times New Roman"/>
          <w:color w:val="000000"/>
          <w:sz w:val="28"/>
          <w:u w:color="000000"/>
          <w:lang w:val="vi-VN"/>
          <w14:cntxtAlts w14:val="0"/>
        </w:rPr>
        <w:t xml:space="preserve">loài thực vật đặc biệt, ngoài khả năng sống hoàn toàn tự dưỡng bằng quang hợp tạo ra chất hữu cơ nhờ lá chứa diệp lục, đồng thời </w:t>
      </w:r>
      <w:r w:rsidRPr="009E1977">
        <w:rPr>
          <w:rFonts w:cs="Times New Roman"/>
          <w:color w:val="000000"/>
          <w:sz w:val="28"/>
          <w:u w:color="000000"/>
          <w14:cntxtAlts w14:val="0"/>
        </w:rPr>
        <w:t>chúng</w:t>
      </w:r>
      <w:r w:rsidRPr="009E1977">
        <w:rPr>
          <w:rFonts w:cs="Times New Roman"/>
          <w:color w:val="000000"/>
          <w:sz w:val="28"/>
          <w:u w:color="000000"/>
          <w:lang w:val="vi-VN"/>
          <w14:cntxtAlts w14:val="0"/>
        </w:rPr>
        <w:t xml:space="preserve"> còn có những cơ quan đặc biệt để bắt và tiêu hóa một số động vật nhỏ và côn trùng.</w:t>
      </w:r>
      <w:r w:rsidR="00696BED" w:rsidRPr="00696BED">
        <w:rPr>
          <w:rFonts w:cs="Times New Roman"/>
          <w:color w:val="000000"/>
          <w:sz w:val="28"/>
          <w:u w:color="000000"/>
          <w:lang w:val="vi-VN"/>
          <w14:cntxtAlts w14:val="0"/>
        </w:rPr>
        <w:t xml:space="preserve"> </w:t>
      </w:r>
      <w:r w:rsidR="00696BED">
        <w:rPr>
          <w:rFonts w:cs="Times New Roman"/>
          <w:color w:val="000000"/>
          <w:sz w:val="28"/>
          <w:u w:color="000000"/>
          <w:lang w:val="vi-VN"/>
          <w14:cntxtAlts w14:val="0"/>
        </w:rPr>
        <w:t>T</w:t>
      </w:r>
      <w:r w:rsidR="00696BED" w:rsidRPr="009E1977">
        <w:rPr>
          <w:rFonts w:cs="Times New Roman"/>
          <w:color w:val="000000"/>
          <w:sz w:val="28"/>
          <w:u w:color="000000"/>
          <w:lang w:val="vi-VN"/>
          <w14:cntxtAlts w14:val="0"/>
        </w:rPr>
        <w:t xml:space="preserve">huật ngữ Carnvóre bắt nguồn từ tiếng  Latin (Carnis: thịt; Vórare: ăn phàm). </w:t>
      </w:r>
    </w:p>
    <w:p w:rsidR="009E1977" w:rsidRPr="009E1977" w:rsidRDefault="00696BED" w:rsidP="002B2C9F">
      <w:pPr>
        <w:suppressAutoHyphens w:val="0"/>
        <w:spacing w:before="40" w:after="40" w:line="264" w:lineRule="auto"/>
        <w:jc w:val="both"/>
        <w:rPr>
          <w:rFonts w:cs="Times New Roman"/>
          <w:sz w:val="28"/>
          <w:szCs w:val="24"/>
          <w:u w:color="000000"/>
          <w14:cntxtAlts w14:val="0"/>
        </w:rPr>
      </w:pPr>
      <w:r>
        <w:rPr>
          <w:rFonts w:cs="Times New Roman"/>
          <w:color w:val="000000"/>
          <w:sz w:val="28"/>
          <w:u w:color="000000"/>
          <w:lang w:val="vi-VN"/>
          <w14:cntxtAlts w14:val="0"/>
        </w:rPr>
        <w:t xml:space="preserve">      </w:t>
      </w:r>
      <w:r w:rsidR="009E1977" w:rsidRPr="009E1977">
        <w:rPr>
          <w:rFonts w:cs="Times New Roman"/>
          <w:color w:val="000000"/>
          <w:sz w:val="28"/>
          <w:u w:color="000000"/>
          <w:lang w:val="vi-VN"/>
          <w14:cntxtAlts w14:val="0"/>
        </w:rPr>
        <w:t>Cơ quan bắt mồi được tạo ra bằng những cách khác nhau</w:t>
      </w:r>
      <w:r w:rsidR="009E1977" w:rsidRPr="009E1977">
        <w:rPr>
          <w:rFonts w:cs="Times New Roman"/>
          <w:color w:val="000000"/>
          <w:sz w:val="28"/>
          <w:u w:color="000000"/>
          <w14:cntxtAlts w14:val="0"/>
        </w:rPr>
        <w:t xml:space="preserve"> như trong các ví dụ sau</w:t>
      </w:r>
      <w:r w:rsidR="008F3840">
        <w:rPr>
          <w:rFonts w:cs="Times New Roman"/>
          <w:color w:val="000000"/>
          <w:sz w:val="28"/>
          <w:szCs w:val="24"/>
          <w:u w:color="000000"/>
          <w:lang w:val="vi-VN"/>
          <w14:cntxtAlts w14:val="0"/>
        </w:rPr>
        <w:t>.</w:t>
      </w:r>
      <w:bookmarkEnd w:id="0"/>
      <w:bookmarkEnd w:id="1"/>
      <w:bookmarkEnd w:id="2"/>
      <w:bookmarkEnd w:id="3"/>
      <w:bookmarkEnd w:id="4"/>
      <w:r w:rsidR="008F3840">
        <w:rPr>
          <w:rFonts w:cs="Times New Roman"/>
          <w:sz w:val="28"/>
          <w:szCs w:val="24"/>
          <w:u w:color="000000"/>
          <w:lang w:val="vi-VN"/>
          <w14:cntxtAlts w14:val="0"/>
        </w:rPr>
        <w:t xml:space="preserve"> </w:t>
      </w:r>
      <w:r w:rsidR="009E1977" w:rsidRPr="009E1977">
        <w:rPr>
          <w:rFonts w:cs="Times New Roman"/>
          <w:sz w:val="28"/>
          <w:szCs w:val="24"/>
          <w:u w:color="000000"/>
          <w14:cntxtAlts w14:val="0"/>
        </w:rPr>
        <w:t>Ở cây Gọng vó (</w:t>
      </w:r>
      <w:r w:rsidR="009E1977" w:rsidRPr="009E1977">
        <w:rPr>
          <w:rFonts w:cs="Times New Roman"/>
          <w:i/>
          <w:sz w:val="28"/>
          <w:szCs w:val="24"/>
          <w:u w:color="000000"/>
          <w14:cntxtAlts w14:val="0"/>
        </w:rPr>
        <w:t>Drosera indica</w:t>
      </w:r>
      <w:r w:rsidR="009E1977" w:rsidRPr="009E1977">
        <w:rPr>
          <w:rFonts w:cs="Times New Roman"/>
          <w:sz w:val="28"/>
          <w:szCs w:val="24"/>
          <w:u w:color="000000"/>
          <w14:cntxtAlts w14:val="0"/>
        </w:rPr>
        <w:t>) thì cơ quan bắt và tiêu hóa côn trùng là các lông tuyến ở lá, nhiều nhất ở mép lá.</w:t>
      </w:r>
      <w:r w:rsidR="008F3840">
        <w:rPr>
          <w:rFonts w:cs="Times New Roman"/>
          <w:sz w:val="28"/>
          <w:szCs w:val="24"/>
          <w:u w:color="000000"/>
          <w:lang w:val="vi-VN"/>
          <w14:cntxtAlts w14:val="0"/>
        </w:rPr>
        <w:t xml:space="preserve"> </w:t>
      </w:r>
      <w:r w:rsidR="009E1977" w:rsidRPr="009E1977">
        <w:rPr>
          <w:rFonts w:cs="Times New Roman"/>
          <w:sz w:val="28"/>
          <w:szCs w:val="24"/>
          <w:u w:color="000000"/>
          <w14:cntxtAlts w14:val="0"/>
        </w:rPr>
        <w:t>Ở cây Nắp ấm (</w:t>
      </w:r>
      <w:r w:rsidR="009E1977" w:rsidRPr="009E1977">
        <w:rPr>
          <w:rFonts w:cs="Times New Roman"/>
          <w:i/>
          <w:sz w:val="28"/>
          <w:szCs w:val="24"/>
          <w:u w:color="000000"/>
          <w14:cntxtAlts w14:val="0"/>
        </w:rPr>
        <w:t>Nepenthes annamensis</w:t>
      </w:r>
      <w:r w:rsidR="009E1977" w:rsidRPr="009E1977">
        <w:rPr>
          <w:rFonts w:cs="Times New Roman"/>
          <w:sz w:val="28"/>
          <w:szCs w:val="24"/>
          <w:u w:color="000000"/>
          <w14:cntxtAlts w14:val="0"/>
        </w:rPr>
        <w:t>) thì cơ quan bắt và tiêu hóa mồi là các túi đặc biệt có nắp đậy tinh tế, gần giống cái ấm đựng nước, nó được tạo ra từ một phần của lá. Ở Rong ly, Rong trứng thủy sinh không có rễ, lá biến thành túi bắt và tiêu hóa mồi.</w:t>
      </w:r>
    </w:p>
    <w:p w:rsidR="009E1977" w:rsidRPr="009E1977" w:rsidRDefault="009E1977" w:rsidP="00965081">
      <w:pPr>
        <w:suppressAutoHyphens w:val="0"/>
        <w:spacing w:after="120" w:line="252" w:lineRule="auto"/>
        <w:ind w:firstLine="397"/>
        <w:jc w:val="both"/>
        <w:rPr>
          <w:rFonts w:cs="Times New Roman"/>
          <w:spacing w:val="3"/>
          <w:sz w:val="28"/>
          <w:szCs w:val="24"/>
          <w:u w:color="000000"/>
          <w14:cntxtAlts w14:val="0"/>
        </w:rPr>
      </w:pPr>
      <w:r w:rsidRPr="009E1977">
        <w:rPr>
          <w:rFonts w:cs="Times New Roman"/>
          <w:spacing w:val="3"/>
          <w:sz w:val="28"/>
          <w:szCs w:val="24"/>
          <w:u w:color="000000"/>
          <w14:cntxtAlts w14:val="0"/>
        </w:rPr>
        <w:t xml:space="preserve">Vậy thực vật ăn động vật có vị trí nào trong hệ thống chuỗi thức ăn của hệ </w:t>
      </w:r>
      <w:r w:rsidRPr="00965081">
        <w:rPr>
          <w:rFonts w:eastAsiaTheme="minorHAnsi" w:cstheme="minorBidi"/>
          <w:sz w:val="28"/>
          <w:szCs w:val="22"/>
          <w14:cntxtAlts w14:val="0"/>
        </w:rPr>
        <w:t>sinh</w:t>
      </w:r>
      <w:r w:rsidRPr="009E1977">
        <w:rPr>
          <w:rFonts w:cs="Times New Roman"/>
          <w:spacing w:val="3"/>
          <w:sz w:val="28"/>
          <w:szCs w:val="24"/>
          <w:u w:color="000000"/>
          <w14:cntxtAlts w14:val="0"/>
        </w:rPr>
        <w:t xml:space="preserve"> thái? Trong sơ đồ khái quát về chuỗi thức ăn, bắt đầu bằng cây xanh, thực vật thuộc nhóm cung cấp (cả thực vật ở cạn và dưới nước), chúng có khả năng tự tổng hợp và tích lũy năng lượng tiềm tàng dưới dạng hóa năng trong các chất hữu cơ tổng hợp được (</w:t>
      </w:r>
      <w:r w:rsidR="00DC5747">
        <w:rPr>
          <w:rFonts w:cs="Times New Roman"/>
          <w:spacing w:val="3"/>
          <w:sz w:val="28"/>
          <w:szCs w:val="24"/>
          <w:u w:color="000000"/>
          <w14:cntxtAlts w14:val="0"/>
        </w:rPr>
        <w:t>Glucid</w:t>
      </w:r>
      <w:r w:rsidRPr="009E1977">
        <w:rPr>
          <w:rFonts w:cs="Times New Roman"/>
          <w:spacing w:val="3"/>
          <w:sz w:val="28"/>
          <w:szCs w:val="24"/>
          <w:u w:color="000000"/>
          <w14:cntxtAlts w14:val="0"/>
        </w:rPr>
        <w:t xml:space="preserve">, </w:t>
      </w:r>
      <w:r w:rsidR="00DC5747" w:rsidRPr="009E1977">
        <w:rPr>
          <w:rFonts w:cs="Times New Roman"/>
          <w:spacing w:val="3"/>
          <w:sz w:val="28"/>
          <w:szCs w:val="24"/>
          <w:u w:color="000000"/>
          <w14:cntxtAlts w14:val="0"/>
        </w:rPr>
        <w:t>Lipi</w:t>
      </w:r>
      <w:r w:rsidR="00DC5747">
        <w:rPr>
          <w:rFonts w:cs="Times New Roman"/>
          <w:spacing w:val="3"/>
          <w:sz w:val="28"/>
          <w:szCs w:val="24"/>
          <w:u w:color="000000"/>
          <w14:cntxtAlts w14:val="0"/>
        </w:rPr>
        <w:t>d</w:t>
      </w:r>
      <w:r w:rsidRPr="009E1977">
        <w:rPr>
          <w:rFonts w:cs="Times New Roman"/>
          <w:spacing w:val="3"/>
          <w:sz w:val="28"/>
          <w:szCs w:val="24"/>
          <w:u w:color="000000"/>
          <w14:cntxtAlts w14:val="0"/>
        </w:rPr>
        <w:t xml:space="preserve">, </w:t>
      </w:r>
      <w:r w:rsidR="00DC5747" w:rsidRPr="009E1977">
        <w:rPr>
          <w:rFonts w:cs="Times New Roman"/>
          <w:spacing w:val="3"/>
          <w:sz w:val="28"/>
          <w:szCs w:val="24"/>
          <w:u w:color="000000"/>
          <w14:cntxtAlts w14:val="0"/>
        </w:rPr>
        <w:t>Proti</w:t>
      </w:r>
      <w:r w:rsidR="00DC5747">
        <w:rPr>
          <w:rFonts w:cs="Times New Roman"/>
          <w:spacing w:val="3"/>
          <w:sz w:val="28"/>
          <w:szCs w:val="24"/>
          <w:u w:color="000000"/>
          <w14:cntxtAlts w14:val="0"/>
        </w:rPr>
        <w:t>de</w:t>
      </w:r>
      <w:r w:rsidRPr="009E1977">
        <w:rPr>
          <w:rFonts w:cs="Times New Roman"/>
          <w:spacing w:val="3"/>
          <w:sz w:val="28"/>
          <w:szCs w:val="24"/>
          <w:u w:color="000000"/>
          <w14:cntxtAlts w14:val="0"/>
        </w:rPr>
        <w:t xml:space="preserve">). Tiếp theo là là vật tiêu thụ cấp 1: bao gồm động vật ăn thực vật. Vật tiêu thụ cấp 1 có thể là ký sinh trùng ký sinh trên thực vật xanh. Vật tiêu thụ cấp 2 bao gồm động vật ăn thịt sử dụng vật tiêu thụ cấp 1 làm thức ăn. Tương tự, có thể có vật thiêu thụ cấp 3, cấp </w:t>
      </w:r>
      <w:proofErr w:type="gramStart"/>
      <w:r w:rsidRPr="009E1977">
        <w:rPr>
          <w:rFonts w:cs="Times New Roman"/>
          <w:spacing w:val="3"/>
          <w:sz w:val="28"/>
          <w:szCs w:val="24"/>
          <w:u w:color="000000"/>
          <w14:cntxtAlts w14:val="0"/>
        </w:rPr>
        <w:t>4,…</w:t>
      </w:r>
      <w:proofErr w:type="gramEnd"/>
      <w:r w:rsidRPr="009E1977">
        <w:rPr>
          <w:rFonts w:cs="Times New Roman"/>
          <w:spacing w:val="3"/>
          <w:sz w:val="28"/>
          <w:szCs w:val="24"/>
          <w:u w:color="000000"/>
          <w14:cntxtAlts w14:val="0"/>
        </w:rPr>
        <w:t xml:space="preserve"> Cuối cùng là vật phân hủy, bao gồm chủ yếu những vi sinh vật, vi khuẩn, nấm hoại sinh ăn xác chết, phân và phân hủy chúng dần dần từ các chất hữu cơ thành các chất vô cơ. </w:t>
      </w:r>
    </w:p>
    <w:p w:rsidR="009E1977" w:rsidRPr="009E1977" w:rsidRDefault="009E1977" w:rsidP="00965081">
      <w:pPr>
        <w:suppressAutoHyphens w:val="0"/>
        <w:spacing w:after="120" w:line="252" w:lineRule="auto"/>
        <w:ind w:firstLine="397"/>
        <w:jc w:val="both"/>
        <w:rPr>
          <w:rFonts w:cs="Times New Roman"/>
          <w:sz w:val="28"/>
          <w:szCs w:val="24"/>
          <w:u w:color="000000"/>
          <w14:cntxtAlts w14:val="0"/>
        </w:rPr>
      </w:pPr>
      <w:r w:rsidRPr="009E1977">
        <w:rPr>
          <w:rFonts w:cs="Times New Roman"/>
          <w:sz w:val="28"/>
          <w:szCs w:val="24"/>
          <w:u w:color="000000"/>
          <w14:cntxtAlts w14:val="0"/>
        </w:rPr>
        <w:t xml:space="preserve">Chưa có tài liệu chính thống khẳng định vấn đề vị trí của </w:t>
      </w:r>
      <w:r w:rsidRPr="009E1977">
        <w:rPr>
          <w:rFonts w:cs="Times New Roman"/>
          <w:spacing w:val="3"/>
          <w:sz w:val="28"/>
          <w:szCs w:val="24"/>
          <w:u w:color="000000"/>
          <w14:cntxtAlts w14:val="0"/>
        </w:rPr>
        <w:t xml:space="preserve">thực vật ăn động vật trong hệ </w:t>
      </w:r>
      <w:r w:rsidRPr="00965081">
        <w:rPr>
          <w:rFonts w:eastAsiaTheme="minorHAnsi" w:cstheme="minorBidi"/>
          <w:sz w:val="28"/>
          <w:szCs w:val="22"/>
          <w14:cntxtAlts w14:val="0"/>
        </w:rPr>
        <w:t>thống</w:t>
      </w:r>
      <w:r w:rsidRPr="009E1977">
        <w:rPr>
          <w:rFonts w:cs="Times New Roman"/>
          <w:spacing w:val="3"/>
          <w:sz w:val="28"/>
          <w:szCs w:val="24"/>
          <w:u w:color="000000"/>
          <w14:cntxtAlts w14:val="0"/>
        </w:rPr>
        <w:t xml:space="preserve"> chuỗi thức ăn của hệ sinh thái</w:t>
      </w:r>
      <w:r w:rsidRPr="009E1977">
        <w:rPr>
          <w:rFonts w:cs="Times New Roman"/>
          <w:sz w:val="28"/>
          <w:szCs w:val="24"/>
          <w:u w:color="000000"/>
          <w14:cntxtAlts w14:val="0"/>
        </w:rPr>
        <w:t xml:space="preserve">. Tuy nhiên, xếp </w:t>
      </w:r>
      <w:r w:rsidRPr="009E1977">
        <w:rPr>
          <w:rFonts w:cs="Times New Roman"/>
          <w:spacing w:val="3"/>
          <w:sz w:val="28"/>
          <w:szCs w:val="24"/>
          <w:u w:color="000000"/>
          <w14:cntxtAlts w14:val="0"/>
        </w:rPr>
        <w:t xml:space="preserve">thực vật ăn động vật </w:t>
      </w:r>
      <w:r w:rsidRPr="009E1977">
        <w:rPr>
          <w:rFonts w:cs="Times New Roman"/>
          <w:sz w:val="28"/>
          <w:szCs w:val="24"/>
          <w:u w:color="000000"/>
          <w14:cntxtAlts w14:val="0"/>
        </w:rPr>
        <w:t>vào nhóm sinh vật sản xuất là hợp lý, vì chúng có khả năng sống tự dưỡng, tạo ra chất hữu cơ bằng quang hợp. Đó là phương thức sống chủ yếu, là con đường tiến hóa chủ đạo của chúng. Đời sống dị dưỡng bằng cách bắt mồi và tiêu hóa động vật là con đường phát triển thứ yếu của nhóm thực vật này. Điều đó thể hiện rõ khi còn non, cơ quan bắt mồi chưa hình thành, thì cây vẫn sinh trưởng tốt.</w:t>
      </w:r>
    </w:p>
    <w:p w:rsidR="009E1977" w:rsidRPr="00965081" w:rsidRDefault="009E1977" w:rsidP="00965081">
      <w:pPr>
        <w:pStyle w:val="tac"/>
        <w:rPr>
          <w:b w:val="0"/>
          <w:bCs w:val="0"/>
          <w:caps w:val="0"/>
        </w:rPr>
      </w:pPr>
      <w:r w:rsidRPr="00965081">
        <w:t>TRẦN ĐÌNH LÝ</w:t>
      </w:r>
    </w:p>
    <w:p w:rsidR="009E1977" w:rsidRPr="00965081" w:rsidRDefault="009E1977" w:rsidP="00965081">
      <w:pPr>
        <w:pStyle w:val="Tl"/>
        <w:spacing w:line="240" w:lineRule="auto"/>
        <w:rPr>
          <w:b w:val="0"/>
        </w:rPr>
      </w:pPr>
      <w:r w:rsidRPr="00965081">
        <w:t>Tài liệu tham khảo</w:t>
      </w:r>
    </w:p>
    <w:p w:rsidR="009E1977" w:rsidRPr="009E1977" w:rsidRDefault="009E1977" w:rsidP="00965081">
      <w:pPr>
        <w:pStyle w:val="Tk"/>
        <w:numPr>
          <w:ilvl w:val="0"/>
          <w:numId w:val="5"/>
        </w:numPr>
        <w:spacing w:line="240" w:lineRule="auto"/>
        <w:ind w:left="357" w:hanging="357"/>
        <w:rPr>
          <w:color w:val="000000"/>
          <w:szCs w:val="24"/>
          <w:u w:color="000000"/>
          <w:lang w:val="vi-VN"/>
        </w:rPr>
      </w:pPr>
      <w:r w:rsidRPr="00965081">
        <w:rPr>
          <w:lang w:val="vi-VN"/>
        </w:rPr>
        <w:t>Trần</w:t>
      </w:r>
      <w:r w:rsidRPr="009E1977">
        <w:rPr>
          <w:color w:val="000000"/>
          <w:szCs w:val="24"/>
          <w:u w:color="000000"/>
          <w:lang w:val="vi-VN"/>
        </w:rPr>
        <w:t xml:space="preserve"> Kiên</w:t>
      </w:r>
      <w:r w:rsidR="00EE0509">
        <w:rPr>
          <w:color w:val="000000"/>
          <w:szCs w:val="24"/>
          <w:u w:color="000000"/>
          <w:lang w:val="vi-VN"/>
        </w:rPr>
        <w:t>,</w:t>
      </w:r>
      <w:r w:rsidRPr="009E1977">
        <w:rPr>
          <w:color w:val="000000"/>
          <w:szCs w:val="24"/>
          <w:u w:color="000000"/>
          <w:lang w:val="vi-VN"/>
        </w:rPr>
        <w:t xml:space="preserve"> Phan Nguyên Hồng, </w:t>
      </w:r>
      <w:r w:rsidRPr="009E1977">
        <w:rPr>
          <w:i/>
          <w:color w:val="000000"/>
          <w:szCs w:val="24"/>
          <w:u w:color="000000"/>
          <w:lang w:val="vi-VN"/>
        </w:rPr>
        <w:t xml:space="preserve"> Sinh thái học đại cương</w:t>
      </w:r>
      <w:r w:rsidRPr="009E1977">
        <w:rPr>
          <w:color w:val="000000"/>
          <w:szCs w:val="24"/>
          <w:u w:color="000000"/>
          <w:lang w:val="vi-VN"/>
        </w:rPr>
        <w:t xml:space="preserve">, Nxb. Giáo dục, Ha Nội, 1990, tr. 156 </w:t>
      </w:r>
      <w:r w:rsidRPr="009E1977">
        <w:rPr>
          <w:color w:val="000000"/>
          <w:szCs w:val="24"/>
          <w:u w:color="000000"/>
        </w:rPr>
        <w:t>-</w:t>
      </w:r>
      <w:r w:rsidRPr="009E1977">
        <w:rPr>
          <w:color w:val="000000"/>
          <w:szCs w:val="24"/>
          <w:u w:color="000000"/>
          <w:lang w:val="vi-VN"/>
        </w:rPr>
        <w:t xml:space="preserve"> 160.</w:t>
      </w:r>
    </w:p>
    <w:p w:rsidR="009E1977" w:rsidRPr="009E1977" w:rsidRDefault="009E1977" w:rsidP="00965081">
      <w:pPr>
        <w:pStyle w:val="Tk"/>
        <w:numPr>
          <w:ilvl w:val="0"/>
          <w:numId w:val="5"/>
        </w:numPr>
        <w:spacing w:line="240" w:lineRule="auto"/>
        <w:ind w:left="357" w:hanging="357"/>
        <w:rPr>
          <w:color w:val="000000"/>
          <w:szCs w:val="24"/>
          <w:u w:color="000000"/>
          <w:lang w:val="vi-VN"/>
        </w:rPr>
      </w:pPr>
      <w:r w:rsidRPr="00965081">
        <w:rPr>
          <w:lang w:val="vi-VN"/>
        </w:rPr>
        <w:t>Stocker</w:t>
      </w:r>
      <w:r w:rsidRPr="009E1977">
        <w:rPr>
          <w:color w:val="000000"/>
          <w:szCs w:val="24"/>
          <w:u w:color="000000"/>
          <w:lang w:val="vi-VN"/>
        </w:rPr>
        <w:t xml:space="preserve"> O., </w:t>
      </w:r>
      <w:r w:rsidRPr="009E1977">
        <w:rPr>
          <w:i/>
          <w:color w:val="000000"/>
          <w:szCs w:val="24"/>
          <w:u w:color="000000"/>
          <w:lang w:val="vi-VN"/>
        </w:rPr>
        <w:t>Grundriss der Botanik</w:t>
      </w:r>
      <w:r w:rsidRPr="009E1977">
        <w:rPr>
          <w:color w:val="000000"/>
          <w:szCs w:val="24"/>
          <w:u w:color="000000"/>
          <w:lang w:val="vi-VN"/>
        </w:rPr>
        <w:t xml:space="preserve">, Springer </w:t>
      </w:r>
      <w:r w:rsidRPr="009E1977">
        <w:rPr>
          <w:color w:val="000000"/>
          <w:szCs w:val="24"/>
          <w:u w:color="000000"/>
        </w:rPr>
        <w:t>-</w:t>
      </w:r>
      <w:r w:rsidRPr="009E1977">
        <w:rPr>
          <w:color w:val="000000"/>
          <w:szCs w:val="24"/>
          <w:u w:color="000000"/>
          <w:lang w:val="vi-VN"/>
        </w:rPr>
        <w:t xml:space="preserve"> Verlag, Berlin, 1952, tr. 90,</w:t>
      </w:r>
      <w:r w:rsidRPr="009E1977">
        <w:rPr>
          <w:color w:val="000000"/>
          <w:szCs w:val="24"/>
          <w:u w:color="000000"/>
        </w:rPr>
        <w:t xml:space="preserve"> </w:t>
      </w:r>
      <w:r w:rsidRPr="009E1977">
        <w:rPr>
          <w:color w:val="000000"/>
          <w:szCs w:val="24"/>
          <w:u w:color="000000"/>
          <w:lang w:val="vi-VN"/>
        </w:rPr>
        <w:t>91,</w:t>
      </w:r>
      <w:r w:rsidRPr="009E1977">
        <w:rPr>
          <w:color w:val="000000"/>
          <w:szCs w:val="24"/>
          <w:u w:color="000000"/>
        </w:rPr>
        <w:t xml:space="preserve"> </w:t>
      </w:r>
      <w:r w:rsidRPr="009E1977">
        <w:rPr>
          <w:color w:val="000000"/>
          <w:szCs w:val="24"/>
          <w:u w:color="000000"/>
          <w:lang w:val="vi-VN"/>
        </w:rPr>
        <w:t>230.</w:t>
      </w:r>
    </w:p>
    <w:p w:rsidR="009E1977" w:rsidRPr="009E1977" w:rsidRDefault="009E1977" w:rsidP="00965081">
      <w:pPr>
        <w:pStyle w:val="Tk"/>
        <w:numPr>
          <w:ilvl w:val="0"/>
          <w:numId w:val="5"/>
        </w:numPr>
        <w:spacing w:line="240" w:lineRule="auto"/>
        <w:ind w:left="357" w:hanging="357"/>
        <w:rPr>
          <w:color w:val="000000"/>
          <w:szCs w:val="24"/>
          <w:u w:color="000000"/>
          <w:lang w:val="vi-VN"/>
        </w:rPr>
      </w:pPr>
      <w:r w:rsidRPr="00965081">
        <w:rPr>
          <w:lang w:val="vi-VN"/>
        </w:rPr>
        <w:t>Jacob</w:t>
      </w:r>
      <w:r w:rsidRPr="009E1977">
        <w:rPr>
          <w:color w:val="000000"/>
          <w:szCs w:val="24"/>
          <w:u w:color="000000"/>
          <w:lang w:val="vi-VN"/>
        </w:rPr>
        <w:t xml:space="preserve"> F., Jaeger E.J., Ohmann E., </w:t>
      </w:r>
      <w:r w:rsidRPr="009E1977">
        <w:rPr>
          <w:i/>
          <w:color w:val="000000"/>
          <w:szCs w:val="24"/>
          <w:u w:color="000000"/>
          <w:lang w:val="vi-VN"/>
        </w:rPr>
        <w:t>Kompendium der Botanik</w:t>
      </w:r>
      <w:r w:rsidRPr="009E1977">
        <w:rPr>
          <w:color w:val="000000"/>
          <w:szCs w:val="24"/>
          <w:u w:color="000000"/>
          <w:lang w:val="vi-VN"/>
        </w:rPr>
        <w:t>, VEB Gustav Fischer Verlag Jena, 1983, tr. 382.</w:t>
      </w:r>
    </w:p>
    <w:p w:rsidR="009E1977" w:rsidRPr="009E1977" w:rsidRDefault="009E1977" w:rsidP="00965081">
      <w:pPr>
        <w:pStyle w:val="Tk"/>
        <w:numPr>
          <w:ilvl w:val="0"/>
          <w:numId w:val="5"/>
        </w:numPr>
        <w:spacing w:line="240" w:lineRule="auto"/>
        <w:ind w:left="357" w:hanging="357"/>
        <w:rPr>
          <w:color w:val="000000"/>
          <w:szCs w:val="24"/>
          <w:u w:color="000000"/>
          <w:lang w:val="vi-VN"/>
        </w:rPr>
      </w:pPr>
      <w:r w:rsidRPr="00965081">
        <w:rPr>
          <w:lang w:val="vi-VN"/>
        </w:rPr>
        <w:t>Strasburger</w:t>
      </w:r>
      <w:r w:rsidRPr="009E1977">
        <w:rPr>
          <w:color w:val="000000"/>
          <w:szCs w:val="24"/>
          <w:u w:color="000000"/>
          <w:lang w:val="vi-VN"/>
        </w:rPr>
        <w:t xml:space="preserve"> E., </w:t>
      </w:r>
      <w:r w:rsidRPr="009E1977">
        <w:rPr>
          <w:i/>
          <w:color w:val="000000"/>
          <w:szCs w:val="24"/>
          <w:u w:color="000000"/>
          <w:lang w:val="vi-VN"/>
        </w:rPr>
        <w:t>Lehrbuch der Botanik</w:t>
      </w:r>
      <w:r w:rsidRPr="009E1977">
        <w:rPr>
          <w:color w:val="000000"/>
          <w:szCs w:val="24"/>
          <w:u w:color="000000"/>
          <w:lang w:val="vi-VN"/>
        </w:rPr>
        <w:t>, Spectrum akademischer Verlag, 2008, tr.</w:t>
      </w:r>
      <w:r w:rsidRPr="009E1977">
        <w:rPr>
          <w:color w:val="000000"/>
          <w:szCs w:val="24"/>
          <w:u w:color="000000"/>
        </w:rPr>
        <w:t xml:space="preserve"> </w:t>
      </w:r>
      <w:r w:rsidRPr="009E1977">
        <w:rPr>
          <w:color w:val="000000"/>
          <w:szCs w:val="24"/>
          <w:u w:color="000000"/>
          <w:lang w:val="vi-VN"/>
        </w:rPr>
        <w:t>206,797.</w:t>
      </w:r>
    </w:p>
    <w:p w:rsidR="009E1977" w:rsidRPr="009E1977" w:rsidRDefault="009E1977" w:rsidP="009E1977">
      <w:pPr>
        <w:suppressAutoHyphens w:val="0"/>
        <w:spacing w:before="0" w:line="240" w:lineRule="auto"/>
        <w:rPr>
          <w:rFonts w:eastAsia="Times New Roman" w:cs="Times New Roman"/>
          <w:sz w:val="20"/>
          <w:szCs w:val="20"/>
          <w:u w:color="000000"/>
          <w14:cntxtAlts w14:val="0"/>
        </w:rPr>
      </w:pPr>
    </w:p>
    <w:p w:rsidR="00A8504B" w:rsidRDefault="00A8504B"/>
    <w:sectPr w:rsidR="00A8504B" w:rsidSect="00ED284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371419"/>
    <w:multiLevelType w:val="hybridMultilevel"/>
    <w:tmpl w:val="5BC4C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139839">
    <w:abstractNumId w:val="0"/>
  </w:num>
  <w:num w:numId="2" w16cid:durableId="1874995147">
    <w:abstractNumId w:val="0"/>
  </w:num>
  <w:num w:numId="3" w16cid:durableId="24411952">
    <w:abstractNumId w:val="0"/>
  </w:num>
  <w:num w:numId="4" w16cid:durableId="1716001875">
    <w:abstractNumId w:val="0"/>
  </w:num>
  <w:num w:numId="5" w16cid:durableId="1266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977"/>
    <w:rsid w:val="000E73EE"/>
    <w:rsid w:val="002B2C9F"/>
    <w:rsid w:val="002C3A00"/>
    <w:rsid w:val="002F7860"/>
    <w:rsid w:val="004912A3"/>
    <w:rsid w:val="00596E18"/>
    <w:rsid w:val="00696BED"/>
    <w:rsid w:val="006E758E"/>
    <w:rsid w:val="0073700D"/>
    <w:rsid w:val="007500BA"/>
    <w:rsid w:val="00845F64"/>
    <w:rsid w:val="008F3840"/>
    <w:rsid w:val="00965081"/>
    <w:rsid w:val="009E1977"/>
    <w:rsid w:val="00A8504B"/>
    <w:rsid w:val="00AF0DBA"/>
    <w:rsid w:val="00D03B49"/>
    <w:rsid w:val="00D7772D"/>
    <w:rsid w:val="00DC5747"/>
    <w:rsid w:val="00DD6571"/>
    <w:rsid w:val="00ED284D"/>
    <w:rsid w:val="00EE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FACB"/>
  <w15:docId w15:val="{2224188D-D465-4808-8E07-80D44E80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DD657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571"/>
    <w:rPr>
      <w:rFonts w:ascii="Tahoma" w:hAnsi="Tahoma" w:cs="Tahoma"/>
      <w:sz w:val="16"/>
      <w:szCs w:val="16"/>
    </w:rPr>
  </w:style>
  <w:style w:type="paragraph" w:customStyle="1" w:styleId="t">
    <w:name w:val="t"/>
    <w:basedOn w:val="Normal"/>
    <w:qFormat/>
    <w:rsid w:val="00DD6571"/>
    <w:pPr>
      <w:pageBreakBefore/>
      <w:suppressAutoHyphens w:val="0"/>
      <w:spacing w:before="80" w:after="80" w:line="264" w:lineRule="auto"/>
    </w:pPr>
    <w:rPr>
      <w:rFonts w:eastAsiaTheme="minorHAnsi" w:cstheme="minorBidi"/>
      <w:b/>
      <w:szCs w:val="22"/>
      <w14:cntxtAlts w14:val="0"/>
    </w:rPr>
  </w:style>
  <w:style w:type="paragraph" w:customStyle="1" w:styleId="tac">
    <w:name w:val="tac"/>
    <w:basedOn w:val="Normal"/>
    <w:rsid w:val="00DD6571"/>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DD6571"/>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DD6571"/>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965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Chi Phan</cp:lastModifiedBy>
  <cp:revision>8</cp:revision>
  <dcterms:created xsi:type="dcterms:W3CDTF">2024-03-12T08:12:00Z</dcterms:created>
  <dcterms:modified xsi:type="dcterms:W3CDTF">2024-05-21T03:21:00Z</dcterms:modified>
</cp:coreProperties>
</file>