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4630" w14:textId="77777777" w:rsidR="00C41B03" w:rsidRPr="00C41B03" w:rsidRDefault="00C41B03" w:rsidP="00C41B03">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68"/>
      <w:bookmarkStart w:id="1" w:name="_Toc146805187"/>
      <w:r w:rsidRPr="00C41B03">
        <w:rPr>
          <w:rFonts w:eastAsia="Calibri" w:cs="Times New Roman"/>
          <w:b/>
          <w:caps/>
          <w:kern w:val="0"/>
          <w:sz w:val="24"/>
          <w:szCs w:val="24"/>
          <w14:ligatures w14:val="none"/>
        </w:rPr>
        <w:t>Vắc - xin trong nuôi trồng thuỷ sản</w:t>
      </w:r>
      <w:bookmarkEnd w:id="0"/>
      <w:bookmarkEnd w:id="1"/>
    </w:p>
    <w:p w14:paraId="473D6CC3" w14:textId="77777777" w:rsidR="00C41B03" w:rsidRPr="00C41B03" w:rsidRDefault="00C41B03" w:rsidP="00C41B03">
      <w:pPr>
        <w:spacing w:before="60" w:after="60" w:line="240" w:lineRule="auto"/>
        <w:jc w:val="both"/>
        <w:rPr>
          <w:rFonts w:eastAsia="Calibri" w:cs="Times New Roman"/>
          <w:kern w:val="0"/>
          <w:sz w:val="28"/>
          <w:szCs w:val="28"/>
          <w:lang w:val="vi-VN"/>
          <w14:ligatures w14:val="none"/>
        </w:rPr>
      </w:pPr>
      <w:r w:rsidRPr="00C41B03">
        <w:rPr>
          <w:rFonts w:eastAsia="Calibri" w:cs="Times New Roman"/>
          <w:kern w:val="0"/>
          <w:sz w:val="28"/>
          <w:szCs w:val="28"/>
          <w14:ligatures w14:val="none"/>
        </w:rPr>
        <w:t>V</w:t>
      </w:r>
      <w:r w:rsidRPr="00C41B03">
        <w:rPr>
          <w:rFonts w:eastAsia="Calibri" w:cs="Times New Roman"/>
          <w:kern w:val="0"/>
          <w:sz w:val="28"/>
          <w:szCs w:val="28"/>
          <w:lang w:val="vi-VN"/>
          <w14:ligatures w14:val="none"/>
        </w:rPr>
        <w:t>ắc-xin được hiểu là chế phẩm có tính kháng nguyên được tạo nên từ tác nhân gây bệnh (vi khuẩn, vi rút, ký sinh trùng</w:t>
      </w:r>
      <w:r w:rsidRPr="00C41B03">
        <w:rPr>
          <w:rFonts w:eastAsia="Calibri" w:cs="Times New Roman"/>
          <w:kern w:val="0"/>
          <w:sz w:val="28"/>
          <w:szCs w:val="28"/>
          <w14:ligatures w14:val="none"/>
        </w:rPr>
        <w:t>, nấm</w:t>
      </w:r>
      <w:r w:rsidRPr="00C41B03">
        <w:rPr>
          <w:rFonts w:eastAsia="Calibri" w:cs="Times New Roman"/>
          <w:kern w:val="0"/>
          <w:sz w:val="28"/>
          <w:szCs w:val="28"/>
          <w:lang w:val="vi-VN"/>
          <w14:ligatures w14:val="none"/>
        </w:rPr>
        <w:t xml:space="preserve">) hay các độc tố do chính tác nhân gây bệnh tiết ra nhằm tác động vào hệ thống miễn dịch đặc hiệu của động vật có xương sống, trong đó có cá, </w:t>
      </w:r>
      <w:r w:rsidRPr="00C41B03">
        <w:rPr>
          <w:rFonts w:eastAsia="Calibri" w:cs="Times New Roman"/>
          <w:kern w:val="0"/>
          <w:sz w:val="28"/>
          <w:szCs w:val="28"/>
          <w14:ligatures w14:val="none"/>
        </w:rPr>
        <w:t>để sinh</w:t>
      </w:r>
      <w:r w:rsidRPr="00C41B03">
        <w:rPr>
          <w:rFonts w:eastAsia="Calibri" w:cs="Times New Roman"/>
          <w:kern w:val="0"/>
          <w:sz w:val="28"/>
          <w:szCs w:val="28"/>
          <w:lang w:val="vi-VN"/>
          <w14:ligatures w14:val="none"/>
        </w:rPr>
        <w:t xml:space="preserve"> đáp ứng miễn dịch chủ động, tăng sức đề kháng của </w:t>
      </w:r>
      <w:r w:rsidRPr="00C41B03">
        <w:rPr>
          <w:rFonts w:eastAsia="Calibri" w:cs="Times New Roman"/>
          <w:kern w:val="0"/>
          <w:sz w:val="28"/>
          <w:szCs w:val="28"/>
          <w14:ligatures w14:val="none"/>
        </w:rPr>
        <w:t>vật chủ</w:t>
      </w:r>
      <w:r w:rsidRPr="00C41B03">
        <w:rPr>
          <w:rFonts w:eastAsia="Calibri" w:cs="Times New Roman"/>
          <w:kern w:val="0"/>
          <w:sz w:val="28"/>
          <w:szCs w:val="28"/>
          <w:lang w:val="vi-VN"/>
          <w14:ligatures w14:val="none"/>
        </w:rPr>
        <w:t xml:space="preserve"> trước một hoặc một số tác nhân gây bệnh cụ thể.</w:t>
      </w:r>
    </w:p>
    <w:p w14:paraId="1A826011"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 xml:space="preserve">Trong nuôi trồng thủy sản, vắc-xin đã và đang được xem là một phương pháp hiệu quả để ngăn ngừa bệnh truyền nhiễm góp phần vào sự phát triển bền vững nghề nuôi trồng thủy sản toàn cầu. Việc sử dụng vắc-xin trong nuôi trồng thủy sản đã làm giảm đáng kể việc sử dụng kháng sinh và hóa chất. Đối với nghề nuôi cá hồi Na Uy, việc sử dụng vắc-xin đã giúp quốc gia này giảm đến 99% việc sử dụng kháng sinh, hiện nay trung bình người dân Na Uy chỉ sử dụng khoảng 0,36 g kháng sinh để sản xuất ra 1 tấn cá hồi thương phẩm. </w:t>
      </w:r>
    </w:p>
    <w:p w14:paraId="16AC1CE2"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Vắc-xin nói chung và vắc-xin trong nuôi trồng thủy sản nói riêng được chia ra làm các loại như: 1) vắc-xin sống nhược độc dùng tác nhân gây bệnh còn sống nhưng được làm giảm hoặc không còn độc lực để kích thích miễn dịch của vật chủ; 2) vắc-xin bất hoạt là loại vắc-xin có chứa tác nhân gây bệnh bị bất hoạt hoàn toàn bằng nhiệt độ hay, bức xạ, tia cực tím, cồn hoặc formaline; 3) vắc-xin protein tiểu phần tái tổ hợp sử dụng các vector vi rút tái tổ hợp có khả năng biểu hiện protein làm công cụ biểu hiện protein độc lực của tác nhân gây bệnh để kích thích sinh miễn dịch đặc hiệu của vật chủ; 4) vắc-xin DNA có thành phần chính là gen độc lực của tác nhân gây bệnh và sử dụng DNA plasmid làm phương tiện chuyển gen vào cơ thể vật chủ. Vắc-xin DNA và vắc-xin protein tiểu phần tái tổ hợp là loại vắc-xin thế hệ mới. Hiện nay, vắc-xin đang được lưu hành và sử dụng trong nuôi trồng thủy sản chủ yếu thuộc hai loại vắc-xin bất hoạt và vắc-xin protein tiểu phần tái tổ hợp.</w:t>
      </w:r>
    </w:p>
    <w:p w14:paraId="63DCC01F"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 xml:space="preserve"> Tùy thuộc vào số lượng kháng nguyên mà vắc-xin có thể được gọi là vắc-xin đơn giá, vắc-xin nhị giá và vắc-xin đa giá. Vắc-xin đơn giá là loại vắc-xin chứa kháng nguyên chống lại một tác nhân gây bệnh được sử dụng để phòng một bệnh ở cá. Vắc-xin nhị giá và đa giá là loại vắc-xin chứa kháng nguyên chống lại hai tác nhân gây bệnh (nhị giá) hoặc nhiều hơn hai tác nhân gây bệnh (đa giá) được sử dụng để phòng đồng thời hai hoặc nhiều hơn hai bệnh ở cá. </w:t>
      </w:r>
    </w:p>
    <w:p w14:paraId="26C3640B"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 xml:space="preserve">Vắc-xin đac được dùng trong nuôi trồng thủy sản, nhưng chỉ mới thành công cho cá vì giáp xác và dông vật thân mềm được cho là không có hệ miễn dịch đặc hiệu, hoặc có nhưng rất yếu. Hơn nữa, vắc-xin cũng mới chỉ được quan tâm và phát triển cho một số loài cá nuôi trong môi trường biển và nước ngọt có giá trị kinh tế cao để ngăn ngừa bệnh do vi khuẩn và vi rút, chưa có vắc-xin phòng bệnh do nấm và ký sinh trùng. Hiện có khoảng gần 30 loại vắc-xin khác nhau cho cá đã được phép lưu hành và thương mại rộng rãi trên thế giới. Chủ </w:t>
      </w:r>
      <w:r w:rsidRPr="00C41B03">
        <w:rPr>
          <w:rFonts w:eastAsia="Calibri" w:cs="Times New Roman"/>
          <w:kern w:val="0"/>
          <w:sz w:val="28"/>
          <w:szCs w:val="28"/>
          <w:lang w:val="vi-VN"/>
          <w14:ligatures w14:val="none"/>
        </w:rPr>
        <w:lastRenderedPageBreak/>
        <w:t xml:space="preserve">yếu các vắc-xin này được sản xuất cho nhóm cá hồi (cá hồi, cá hồi vân), nhóm cá biển (cá chẽm, cá song, cá cam Nhật Bản, cá bơn, v.v.), nhóm cá da trơn (cá tra, cá nheo Mỹ), cá chép và cá rô phi. Ở nước ta, vắc-xin thương mại đã và đang sử dụng để phòng bệnh gan thận mủ do vi khuẩn </w:t>
      </w:r>
      <w:r w:rsidRPr="00C41B03">
        <w:rPr>
          <w:rFonts w:eastAsia="Calibri" w:cs="Times New Roman"/>
          <w:i/>
          <w:iCs/>
          <w:kern w:val="0"/>
          <w:sz w:val="28"/>
          <w:szCs w:val="28"/>
          <w:lang w:val="vi-VN"/>
          <w14:ligatures w14:val="none"/>
        </w:rPr>
        <w:t>Edwardsiella ictaluri</w:t>
      </w:r>
      <w:r w:rsidRPr="00C41B03">
        <w:rPr>
          <w:rFonts w:eastAsia="Calibri" w:cs="Times New Roman"/>
          <w:kern w:val="0"/>
          <w:sz w:val="28"/>
          <w:szCs w:val="28"/>
          <w:lang w:val="vi-VN"/>
          <w14:ligatures w14:val="none"/>
        </w:rPr>
        <w:t xml:space="preserve"> gây ra trên cá tra và bệnh xuất huyết do vi khuẩn </w:t>
      </w:r>
      <w:r w:rsidRPr="00C41B03">
        <w:rPr>
          <w:rFonts w:eastAsia="Calibri" w:cs="Times New Roman"/>
          <w:i/>
          <w:iCs/>
          <w:kern w:val="0"/>
          <w:sz w:val="28"/>
          <w:szCs w:val="28"/>
          <w:lang w:val="vi-VN"/>
          <w14:ligatures w14:val="none"/>
        </w:rPr>
        <w:t>Streptococcus agalactiae</w:t>
      </w:r>
      <w:r w:rsidRPr="00C41B03">
        <w:rPr>
          <w:rFonts w:eastAsia="Calibri" w:cs="Times New Roman"/>
          <w:kern w:val="0"/>
          <w:sz w:val="28"/>
          <w:szCs w:val="28"/>
          <w:lang w:val="vi-VN"/>
          <w14:ligatures w14:val="none"/>
        </w:rPr>
        <w:t xml:space="preserve"> và </w:t>
      </w:r>
      <w:r w:rsidRPr="00C41B03">
        <w:rPr>
          <w:rFonts w:eastAsia="Calibri" w:cs="Times New Roman"/>
          <w:i/>
          <w:iCs/>
          <w:kern w:val="0"/>
          <w:sz w:val="28"/>
          <w:szCs w:val="28"/>
          <w:lang w:val="vi-VN"/>
          <w14:ligatures w14:val="none"/>
        </w:rPr>
        <w:t>S. iniae</w:t>
      </w:r>
      <w:r w:rsidRPr="00C41B03">
        <w:rPr>
          <w:rFonts w:eastAsia="Calibri" w:cs="Times New Roman"/>
          <w:kern w:val="0"/>
          <w:sz w:val="28"/>
          <w:szCs w:val="28"/>
          <w:lang w:val="vi-VN"/>
          <w14:ligatures w14:val="none"/>
        </w:rPr>
        <w:t xml:space="preserve"> gây ra trên cá rô phi.</w:t>
      </w:r>
    </w:p>
    <w:p w14:paraId="30E1BA5C"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Trong nuôi trồng thủy sản, vắc-xin được đưa vào cơ thể động vật thủy sản bằng 3 phương pháp: tiêm, ngâm và trộn vào thức ăn. Phương pháp tiêm có ưu điểm là liều lượng vắc-xin sử dụng thường ít và tất cả cá đều được tiếp nhận vắc-xin với liều giống nhau nên thường mang lại hiệu quả bảo hộ cao và đồng nhất, phương pháp này có nhược điểm là cần nguồn nhân lực lớn và cá được tiêm vắc-xin phải có kích thước đủ lớn (&gt; 20g). Phương pháp trộn vắc-xin vào thức ăn có ưu điểm giảm nhân lực, giảm gây sốc và tổn thương cho cá, có nhược điểm là hiệu quả bảo hộ không đồng nhất và thường mang lại hiệu quả thấp do ảnh hưởng của enzyme tiêu hóa trong ruột cá. Phương pháp ngâm có ưu điểm rẻ và dễ áp dụng, song có nhược điểm là lượng vắc-xin sử dụng nhiều và chỉ thích hợp cho cá giai đoạn nhỏ. Hiện nay, với sự phát triển của các công nghệ phụ trợ như: thiết bị tiêm tự động, các chất bổ trợ nên phương pháp tiêm vẫn đã và đang được lựa chọn đối với vắc-xin trong nuôi trồng thủy sản.</w:t>
      </w:r>
    </w:p>
    <w:p w14:paraId="5EB73662"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 xml:space="preserve">Do đặc thù trong nuôi trồng thủy sản số lượng loài nuôi lớn, nhiều dịch bệnh thường xảy ra ở giai đoạn cá nhỏ, hệ thống miễn dịch chưa phát triển toàn diện nên việc sử dụng vắc-xin đôi khi không mang lại hiệu quả như mong muốn. Ngoài ra, do động vật thủy sản thường nhiễm đồng thời nhiều tác nhân gây bệnh, nên nếu vắc-xin chỉ có hiệu quả bảo hộ đối với một bệnh cụ thể, thường sẽ không mang lại hiệu quả như người nuôi mong đợi. Vắc-xin sống nhược độc cho kết quả miễn dịch cao và kéo dài, tuy nhiên phương pháp nhược độc bằng xử lý nhiệt, nuôi cấy nhiều đời hay knock-out gen độc lực tiềm ẩn nhiều rủi ro do các gen độc lực có thể hoạt động trở lại. Đến thời điểm hiện tại, nhiều quốc gia trong đó có Việt Nam chưa cho phép sử dụng vắc-xin sống nhược độc trong nuôi trồng thủy sản. </w:t>
      </w:r>
    </w:p>
    <w:p w14:paraId="35AE3B13" w14:textId="77777777" w:rsidR="00C41B03" w:rsidRPr="00C41B03" w:rsidRDefault="00C41B03" w:rsidP="00C41B03">
      <w:pPr>
        <w:spacing w:before="60" w:after="60" w:line="240" w:lineRule="auto"/>
        <w:ind w:firstLine="720"/>
        <w:jc w:val="both"/>
        <w:rPr>
          <w:rFonts w:eastAsia="Calibri" w:cs="Times New Roman"/>
          <w:kern w:val="0"/>
          <w:sz w:val="28"/>
          <w:szCs w:val="28"/>
          <w:lang w:val="vi-VN"/>
          <w14:ligatures w14:val="none"/>
        </w:rPr>
      </w:pPr>
      <w:r w:rsidRPr="00C41B03">
        <w:rPr>
          <w:rFonts w:eastAsia="Calibri" w:cs="Times New Roman"/>
          <w:kern w:val="0"/>
          <w:sz w:val="28"/>
          <w:szCs w:val="28"/>
          <w:lang w:val="vi-VN"/>
          <w14:ligatures w14:val="none"/>
        </w:rPr>
        <w:t>Sử dụng vắc-xin trong nuôi trồng thủy sản là cần thiết, song để mang lại hiệu quả như mong đợi việc sản xuất vắc-xin thủy sản phải được cân nhắc đến các yếu tố như: đối tượng sử dụng vắc-xin (có giá trị kinh tế, quy mô nuôi công nghiệp), quy mô hay nhu cầu sử dụng vắc-xin và con đường đưa vắc-xin (phù hợp với giai đoạn nuôi và đối tượng sử dụng).</w:t>
      </w:r>
    </w:p>
    <w:p w14:paraId="781D09D6" w14:textId="77777777" w:rsidR="00C41B03" w:rsidRPr="00C41B03" w:rsidRDefault="00C41B03" w:rsidP="00C41B03">
      <w:pPr>
        <w:spacing w:before="60" w:after="60" w:line="240" w:lineRule="auto"/>
        <w:ind w:firstLine="720"/>
        <w:jc w:val="right"/>
        <w:rPr>
          <w:rFonts w:eastAsia="Calibri" w:cs="Times New Roman"/>
          <w:b/>
          <w:kern w:val="0"/>
          <w:sz w:val="20"/>
          <w:szCs w:val="20"/>
          <w:lang w:val="vi-VN"/>
          <w14:ligatures w14:val="none"/>
        </w:rPr>
      </w:pPr>
      <w:r w:rsidRPr="00C41B03">
        <w:rPr>
          <w:rFonts w:eastAsia="Calibri" w:cs="Times New Roman"/>
          <w:b/>
          <w:kern w:val="0"/>
          <w:sz w:val="20"/>
          <w:szCs w:val="20"/>
          <w:lang w:val="vi-VN"/>
          <w14:ligatures w14:val="none"/>
        </w:rPr>
        <w:t>ĐẶNG THỊ LỤA</w:t>
      </w:r>
    </w:p>
    <w:p w14:paraId="0D0F50F4" w14:textId="77777777" w:rsidR="00C41B03" w:rsidRPr="00C41B03" w:rsidRDefault="00C41B03" w:rsidP="00C41B03">
      <w:pPr>
        <w:spacing w:before="60" w:after="60" w:line="240" w:lineRule="auto"/>
        <w:jc w:val="both"/>
        <w:rPr>
          <w:rFonts w:eastAsia="Calibri" w:cs="Times New Roman"/>
          <w:b/>
          <w:kern w:val="0"/>
          <w:sz w:val="20"/>
          <w:szCs w:val="20"/>
          <w:lang w:val="vi-VN"/>
          <w14:ligatures w14:val="none"/>
        </w:rPr>
      </w:pPr>
    </w:p>
    <w:p w14:paraId="1FA15E02" w14:textId="77777777" w:rsidR="00C41B03" w:rsidRPr="00C41B03" w:rsidRDefault="00C41B03" w:rsidP="00C41B03">
      <w:pPr>
        <w:spacing w:before="60" w:after="60" w:line="240" w:lineRule="auto"/>
        <w:jc w:val="both"/>
        <w:rPr>
          <w:rFonts w:eastAsia="Calibri" w:cs="Times New Roman"/>
          <w:b/>
          <w:kern w:val="0"/>
          <w:sz w:val="20"/>
          <w:szCs w:val="20"/>
          <w:lang w:val="vi-VN"/>
          <w14:ligatures w14:val="none"/>
        </w:rPr>
      </w:pPr>
      <w:r w:rsidRPr="00C41B03">
        <w:rPr>
          <w:rFonts w:eastAsia="Calibri" w:cs="Times New Roman"/>
          <w:b/>
          <w:kern w:val="0"/>
          <w:sz w:val="20"/>
          <w:szCs w:val="20"/>
          <w:lang w:val="vi-VN"/>
          <w14:ligatures w14:val="none"/>
        </w:rPr>
        <w:t xml:space="preserve">Tài liệu tham khảo: </w:t>
      </w:r>
    </w:p>
    <w:p w14:paraId="0CA04381" w14:textId="77777777" w:rsidR="00C41B03" w:rsidRPr="00C41B03" w:rsidRDefault="00C41B03" w:rsidP="00C41B03">
      <w:pPr>
        <w:spacing w:before="60" w:after="60" w:line="240" w:lineRule="auto"/>
        <w:ind w:left="284" w:hanging="284"/>
        <w:jc w:val="both"/>
        <w:rPr>
          <w:rFonts w:eastAsia="Calibri" w:cs="Times New Roman"/>
          <w:kern w:val="0"/>
          <w:sz w:val="20"/>
          <w:szCs w:val="20"/>
          <w14:ligatures w14:val="none"/>
        </w:rPr>
      </w:pPr>
      <w:r w:rsidRPr="00C41B03">
        <w:rPr>
          <w:rFonts w:eastAsia="Calibri" w:cs="Times New Roman"/>
          <w:kern w:val="0"/>
          <w:sz w:val="20"/>
          <w:szCs w:val="20"/>
          <w14:ligatures w14:val="none"/>
        </w:rPr>
        <w:lastRenderedPageBreak/>
        <w:t xml:space="preserve">1. Adams A., </w:t>
      </w:r>
      <w:r w:rsidRPr="00C41B03">
        <w:rPr>
          <w:rFonts w:eastAsia="Calibri" w:cs="Times New Roman"/>
          <w:i/>
          <w:kern w:val="0"/>
          <w:sz w:val="20"/>
          <w:szCs w:val="20"/>
          <w14:ligatures w14:val="none"/>
        </w:rPr>
        <w:t>Progress, challenges and opportunities in fish vaccine development</w:t>
      </w:r>
      <w:r w:rsidRPr="00C41B03">
        <w:rPr>
          <w:rFonts w:eastAsia="Calibri" w:cs="Times New Roman"/>
          <w:kern w:val="0"/>
          <w:sz w:val="20"/>
          <w:szCs w:val="20"/>
          <w14:ligatures w14:val="none"/>
        </w:rPr>
        <w:t>, Fish &amp; shellfish immunology, 90, 2019, pp. 210 - 214.</w:t>
      </w:r>
    </w:p>
    <w:p w14:paraId="7B4A57FE" w14:textId="77777777" w:rsidR="00C41B03" w:rsidRPr="00C41B03" w:rsidRDefault="00C41B03" w:rsidP="00C41B03">
      <w:pPr>
        <w:spacing w:before="60" w:after="60" w:line="240" w:lineRule="auto"/>
        <w:ind w:left="284" w:hanging="284"/>
        <w:jc w:val="both"/>
        <w:rPr>
          <w:rFonts w:eastAsia="Calibri" w:cs="Times New Roman"/>
          <w:kern w:val="0"/>
          <w:sz w:val="20"/>
          <w:szCs w:val="20"/>
          <w14:ligatures w14:val="none"/>
        </w:rPr>
      </w:pPr>
      <w:r w:rsidRPr="00C41B03">
        <w:rPr>
          <w:rFonts w:eastAsia="Calibri" w:cs="Times New Roman"/>
          <w:kern w:val="0"/>
          <w:sz w:val="20"/>
          <w:szCs w:val="20"/>
          <w14:ligatures w14:val="none"/>
        </w:rPr>
        <w:t xml:space="preserve">2. Assefa A. and Abunna F., </w:t>
      </w:r>
      <w:r w:rsidRPr="00C41B03">
        <w:rPr>
          <w:rFonts w:eastAsia="Calibri" w:cs="Times New Roman"/>
          <w:i/>
          <w:kern w:val="0"/>
          <w:sz w:val="20"/>
          <w:szCs w:val="20"/>
          <w14:ligatures w14:val="none"/>
        </w:rPr>
        <w:t>Maintenance of fish health in aquaculture: Review of epidemiological approaches for prevention and control of infectious disease of fish</w:t>
      </w:r>
      <w:r w:rsidRPr="00C41B03">
        <w:rPr>
          <w:rFonts w:eastAsia="Calibri" w:cs="Times New Roman"/>
          <w:kern w:val="0"/>
          <w:sz w:val="20"/>
          <w:szCs w:val="20"/>
          <w14:ligatures w14:val="none"/>
        </w:rPr>
        <w:t xml:space="preserve">, Veterinary medicine international. Article ID 5432497, 2018. </w:t>
      </w:r>
    </w:p>
    <w:p w14:paraId="6E1EAAF3" w14:textId="77777777" w:rsidR="00C41B03" w:rsidRPr="00C41B03" w:rsidRDefault="00C41B03" w:rsidP="00C41B03">
      <w:pPr>
        <w:spacing w:before="60" w:after="60" w:line="240" w:lineRule="auto"/>
        <w:ind w:left="284" w:hanging="284"/>
        <w:jc w:val="both"/>
        <w:rPr>
          <w:rFonts w:eastAsia="Calibri" w:cs="Times New Roman"/>
          <w:kern w:val="0"/>
          <w:sz w:val="20"/>
          <w:szCs w:val="20"/>
          <w:lang w:val="vi-VN"/>
          <w14:ligatures w14:val="none"/>
        </w:rPr>
      </w:pPr>
      <w:r w:rsidRPr="00C41B03">
        <w:rPr>
          <w:rFonts w:eastAsia="Calibri" w:cs="Times New Roman"/>
          <w:kern w:val="0"/>
          <w:sz w:val="20"/>
          <w:szCs w:val="20"/>
          <w14:ligatures w14:val="none"/>
        </w:rPr>
        <w:t xml:space="preserve">3. Ma J., Bruce T.J., Jones E.M. and Cain K.D., </w:t>
      </w:r>
      <w:r w:rsidRPr="00C41B03">
        <w:rPr>
          <w:rFonts w:eastAsia="Calibri" w:cs="Times New Roman"/>
          <w:i/>
          <w:kern w:val="0"/>
          <w:sz w:val="20"/>
          <w:szCs w:val="20"/>
          <w14:ligatures w14:val="none"/>
        </w:rPr>
        <w:t xml:space="preserve">A review </w:t>
      </w:r>
      <w:r w:rsidRPr="00C41B03">
        <w:rPr>
          <w:rFonts w:eastAsia="Calibri" w:cs="Times New Roman"/>
          <w:i/>
          <w:kern w:val="0"/>
          <w:sz w:val="20"/>
          <w:szCs w:val="20"/>
          <w:lang w:val="vi-VN"/>
          <w14:ligatures w14:val="none"/>
        </w:rPr>
        <w:t>of fish vaccine development strategies: conventional methods and modern biotechnological approaches</w:t>
      </w:r>
      <w:r w:rsidRPr="00C41B03">
        <w:rPr>
          <w:rFonts w:eastAsia="Calibri" w:cs="Times New Roman"/>
          <w:kern w:val="0"/>
          <w:sz w:val="20"/>
          <w:szCs w:val="20"/>
          <w:lang w:val="vi-VN"/>
          <w14:ligatures w14:val="none"/>
        </w:rPr>
        <w:t>. Microorganisms, 7, 2019.</w:t>
      </w:r>
    </w:p>
    <w:p w14:paraId="299119E6" w14:textId="77777777" w:rsidR="00C41B03" w:rsidRPr="00C41B03" w:rsidRDefault="00C41B03" w:rsidP="00C41B03">
      <w:pPr>
        <w:spacing w:before="60" w:after="60" w:line="240" w:lineRule="auto"/>
        <w:ind w:left="284" w:hanging="284"/>
        <w:jc w:val="both"/>
        <w:rPr>
          <w:rFonts w:eastAsia="Calibri" w:cs="Times New Roman"/>
          <w:kern w:val="0"/>
          <w:sz w:val="20"/>
          <w:szCs w:val="20"/>
          <w:lang w:val="vi-VN"/>
          <w14:ligatures w14:val="none"/>
        </w:rPr>
      </w:pPr>
      <w:r w:rsidRPr="00C41B03">
        <w:rPr>
          <w:rFonts w:eastAsia="Calibri" w:cs="Times New Roman"/>
          <w:kern w:val="0"/>
          <w:sz w:val="20"/>
          <w:szCs w:val="20"/>
          <w:lang w:val="vi-VN"/>
          <w14:ligatures w14:val="none"/>
        </w:rPr>
        <w:t xml:space="preserve">4. Nguyễn Quốc Minh, </w:t>
      </w:r>
      <w:r w:rsidRPr="00C41B03">
        <w:rPr>
          <w:rFonts w:eastAsia="Calibri" w:cs="Times New Roman"/>
          <w:i/>
          <w:kern w:val="0"/>
          <w:sz w:val="20"/>
          <w:szCs w:val="20"/>
          <w:lang w:val="vi-VN"/>
          <w14:ligatures w14:val="none"/>
        </w:rPr>
        <w:t>Vaccine trong nuôi trồng thủy sản</w:t>
      </w:r>
      <w:r w:rsidRPr="00C41B03">
        <w:rPr>
          <w:rFonts w:eastAsia="Calibri" w:cs="Times New Roman"/>
          <w:kern w:val="0"/>
          <w:sz w:val="20"/>
          <w:szCs w:val="20"/>
          <w:lang w:val="vi-VN"/>
          <w14:ligatures w14:val="none"/>
        </w:rPr>
        <w:t>, Tạp chí khoa học kỹ thuật thú y, 17(6), 2010, pp. 95 - 96.</w:t>
      </w:r>
    </w:p>
    <w:p w14:paraId="3E9B5C81" w14:textId="77777777" w:rsidR="00C41B03" w:rsidRPr="00C41B03" w:rsidRDefault="00C41B03" w:rsidP="00C41B03">
      <w:pPr>
        <w:spacing w:before="60" w:after="60" w:line="240" w:lineRule="auto"/>
        <w:ind w:left="284" w:hanging="284"/>
        <w:jc w:val="both"/>
        <w:rPr>
          <w:rFonts w:eastAsia="Calibri" w:cs="Times New Roman"/>
          <w:kern w:val="0"/>
          <w:sz w:val="20"/>
          <w:szCs w:val="20"/>
          <w14:ligatures w14:val="none"/>
        </w:rPr>
      </w:pPr>
      <w:r w:rsidRPr="00C41B03">
        <w:rPr>
          <w:rFonts w:eastAsia="Calibri" w:cs="Times New Roman"/>
          <w:kern w:val="0"/>
          <w:sz w:val="20"/>
          <w:szCs w:val="20"/>
          <w14:ligatures w14:val="none"/>
        </w:rPr>
        <w:t xml:space="preserve">5. Norwegian Veterinary Institute, </w:t>
      </w:r>
      <w:r w:rsidRPr="00C41B03">
        <w:rPr>
          <w:rFonts w:eastAsia="Calibri" w:cs="Times New Roman"/>
          <w:i/>
          <w:kern w:val="0"/>
          <w:sz w:val="20"/>
          <w:szCs w:val="20"/>
          <w14:ligatures w14:val="none"/>
        </w:rPr>
        <w:t>Use of antibiotics in Norwegian aquaculture</w:t>
      </w:r>
      <w:r w:rsidRPr="00C41B03">
        <w:rPr>
          <w:rFonts w:eastAsia="Calibri" w:cs="Times New Roman"/>
          <w:kern w:val="0"/>
          <w:sz w:val="20"/>
          <w:szCs w:val="20"/>
          <w14:ligatures w14:val="none"/>
        </w:rPr>
        <w:t>, Report 22 - 2016.</w:t>
      </w:r>
    </w:p>
    <w:p w14:paraId="6EFF3DDA"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03"/>
    <w:rsid w:val="00060052"/>
    <w:rsid w:val="0014220F"/>
    <w:rsid w:val="002B1871"/>
    <w:rsid w:val="002F0A7D"/>
    <w:rsid w:val="00587EC0"/>
    <w:rsid w:val="0070421C"/>
    <w:rsid w:val="0082578F"/>
    <w:rsid w:val="0098269E"/>
    <w:rsid w:val="00B264F8"/>
    <w:rsid w:val="00BF05C2"/>
    <w:rsid w:val="00C41B03"/>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C45D"/>
  <w15:chartTrackingRefBased/>
  <w15:docId w15:val="{B70E1879-1A11-4361-8EA8-62B73848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C41B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1B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1B0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1B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41B0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41B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B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B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B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B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1B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1B0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1B0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41B0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41B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B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B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B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B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B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B03"/>
    <w:pPr>
      <w:spacing w:before="160"/>
      <w:jc w:val="center"/>
    </w:pPr>
    <w:rPr>
      <w:i/>
      <w:iCs/>
      <w:color w:val="404040" w:themeColor="text1" w:themeTint="BF"/>
    </w:rPr>
  </w:style>
  <w:style w:type="character" w:customStyle="1" w:styleId="QuoteChar">
    <w:name w:val="Quote Char"/>
    <w:basedOn w:val="DefaultParagraphFont"/>
    <w:link w:val="Quote"/>
    <w:uiPriority w:val="29"/>
    <w:rsid w:val="00C41B03"/>
    <w:rPr>
      <w:i/>
      <w:iCs/>
      <w:color w:val="404040" w:themeColor="text1" w:themeTint="BF"/>
    </w:rPr>
  </w:style>
  <w:style w:type="paragraph" w:styleId="ListParagraph">
    <w:name w:val="List Paragraph"/>
    <w:basedOn w:val="Normal"/>
    <w:uiPriority w:val="34"/>
    <w:qFormat/>
    <w:rsid w:val="00C41B03"/>
    <w:pPr>
      <w:ind w:left="720"/>
      <w:contextualSpacing/>
    </w:pPr>
  </w:style>
  <w:style w:type="character" w:styleId="IntenseEmphasis">
    <w:name w:val="Intense Emphasis"/>
    <w:basedOn w:val="DefaultParagraphFont"/>
    <w:uiPriority w:val="21"/>
    <w:qFormat/>
    <w:rsid w:val="00C41B03"/>
    <w:rPr>
      <w:i/>
      <w:iCs/>
      <w:color w:val="2E74B5" w:themeColor="accent1" w:themeShade="BF"/>
    </w:rPr>
  </w:style>
  <w:style w:type="paragraph" w:styleId="IntenseQuote">
    <w:name w:val="Intense Quote"/>
    <w:basedOn w:val="Normal"/>
    <w:next w:val="Normal"/>
    <w:link w:val="IntenseQuoteChar"/>
    <w:uiPriority w:val="30"/>
    <w:qFormat/>
    <w:rsid w:val="00C41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1B03"/>
    <w:rPr>
      <w:i/>
      <w:iCs/>
      <w:color w:val="2E74B5" w:themeColor="accent1" w:themeShade="BF"/>
    </w:rPr>
  </w:style>
  <w:style w:type="character" w:styleId="IntenseReference">
    <w:name w:val="Intense Reference"/>
    <w:basedOn w:val="DefaultParagraphFont"/>
    <w:uiPriority w:val="32"/>
    <w:qFormat/>
    <w:rsid w:val="00C41B0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2025-12-04T09:44:00Z</dcterms:created>
  <dcterms:modified xsi:type="dcterms:W3CDTF">2025-12-04T09:45:00Z</dcterms:modified>
</cp:coreProperties>
</file>