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F69" w:rsidRPr="00460F69" w:rsidRDefault="00460F69" w:rsidP="00460F69">
      <w:pPr>
        <w:spacing w:line="480" w:lineRule="auto"/>
        <w:rPr>
          <w:rFonts w:eastAsia="Calibri" w:cs="Times New Roman"/>
          <w:szCs w:val="28"/>
        </w:rPr>
      </w:pPr>
      <w:r w:rsidRPr="00460F69">
        <w:rPr>
          <w:rFonts w:eastAsia="Calibri" w:cs="Times New Roman"/>
          <w:b/>
          <w:sz w:val="24"/>
          <w:szCs w:val="24"/>
        </w:rPr>
        <w:t>XẠ</w:t>
      </w:r>
      <w:r w:rsidRPr="00460F69">
        <w:rPr>
          <w:rFonts w:eastAsia="Calibri" w:cs="Times New Roman"/>
          <w:b/>
          <w:szCs w:val="28"/>
        </w:rPr>
        <w:t xml:space="preserve"> </w:t>
      </w:r>
      <w:r w:rsidRPr="00460F69">
        <w:rPr>
          <w:rFonts w:eastAsia="Calibri" w:cs="Times New Roman"/>
          <w:b/>
          <w:sz w:val="24"/>
          <w:szCs w:val="24"/>
        </w:rPr>
        <w:t>(A. Musk)</w:t>
      </w:r>
      <w:r w:rsidRPr="00460F69">
        <w:rPr>
          <w:rFonts w:eastAsia="Calibri" w:cs="Times New Roman"/>
          <w:sz w:val="24"/>
          <w:szCs w:val="24"/>
        </w:rPr>
        <w:t xml:space="preserve">   </w:t>
      </w:r>
      <w:r w:rsidRPr="00460F69">
        <w:rPr>
          <w:rFonts w:eastAsia="Calibri" w:cs="Times New Roman"/>
          <w:szCs w:val="28"/>
        </w:rPr>
        <w:t xml:space="preserve"> </w:t>
      </w:r>
    </w:p>
    <w:p w:rsidR="00460F69" w:rsidRPr="00460F69" w:rsidRDefault="00460F69" w:rsidP="00460F69">
      <w:pPr>
        <w:rPr>
          <w:rFonts w:eastAsia="Calibri" w:cs="Times New Roman"/>
          <w:bCs/>
          <w:szCs w:val="28"/>
        </w:rPr>
      </w:pPr>
      <w:r w:rsidRPr="00460F69">
        <w:rPr>
          <w:rFonts w:eastAsia="Calibri" w:cs="Times New Roman"/>
          <w:bCs/>
          <w:szCs w:val="28"/>
        </w:rPr>
        <w:t xml:space="preserve">Tên gọi xạ </w:t>
      </w:r>
      <w:r w:rsidRPr="00460F69">
        <w:rPr>
          <w:rFonts w:eastAsia="Calibri" w:cs="Times New Roman"/>
          <w:szCs w:val="28"/>
          <w:lang w:val="pt-BR"/>
        </w:rPr>
        <w:t xml:space="preserve">(tiếng </w:t>
      </w:r>
      <w:r w:rsidRPr="00460F69">
        <w:rPr>
          <w:rFonts w:eastAsia="Calibri" w:cs="Times New Roman"/>
          <w:szCs w:val="28"/>
        </w:rPr>
        <w:t>Hy Lạp</w:t>
      </w:r>
      <w:r w:rsidRPr="00460F69">
        <w:rPr>
          <w:rFonts w:eastAsia="Calibri" w:cs="Times New Roman"/>
          <w:szCs w:val="28"/>
          <w:lang w:val="pt-BR"/>
        </w:rPr>
        <w:t xml:space="preserve"> moskhos </w:t>
      </w:r>
      <w:r w:rsidRPr="00460F69">
        <w:rPr>
          <w:rFonts w:eastAsia="Calibri" w:cs="Times New Roman"/>
          <w:szCs w:val="28"/>
          <w:lang w:val="pt-BR"/>
        </w:rPr>
        <w:sym w:font="Symbol" w:char="F03D"/>
      </w:r>
      <w:r w:rsidRPr="00460F69">
        <w:rPr>
          <w:rFonts w:eastAsia="Calibri" w:cs="Times New Roman"/>
          <w:szCs w:val="28"/>
          <w:lang w:val="pt-BR"/>
        </w:rPr>
        <w:t xml:space="preserve"> xạ), còn gọi là xạ hương, </w:t>
      </w:r>
      <w:r w:rsidRPr="00460F69">
        <w:rPr>
          <w:rFonts w:eastAsia="Calibri" w:cs="Times New Roman"/>
          <w:bCs/>
          <w:szCs w:val="28"/>
        </w:rPr>
        <w:t>bắt nguồn từ chất có mùi hương rất mạnh, lan tỏa rộng thu được từ tuyến bụng của hươu xạ đực (</w:t>
      </w:r>
      <w:r w:rsidRPr="00460F69">
        <w:rPr>
          <w:rFonts w:eastAsia="Calibri" w:cs="Times New Roman"/>
          <w:bCs/>
          <w:i/>
          <w:szCs w:val="28"/>
        </w:rPr>
        <w:t>Moschus moschiferus</w:t>
      </w:r>
      <w:r w:rsidRPr="00460F69">
        <w:rPr>
          <w:rFonts w:eastAsia="Calibri" w:cs="Times New Roman"/>
          <w:bCs/>
          <w:szCs w:val="28"/>
        </w:rPr>
        <w:t>), một loài hươu nhỏ không có sừng sống chủ yếu ở vùng núi cao của miền Đông Á (Tây Tạng, Xi</w:t>
      </w:r>
      <w:r w:rsidR="00970A33">
        <w:rPr>
          <w:rFonts w:eastAsia="Calibri" w:cs="Times New Roman"/>
          <w:bCs/>
          <w:szCs w:val="28"/>
        </w:rPr>
        <w:t>-</w:t>
      </w:r>
      <w:r w:rsidRPr="00460F69">
        <w:rPr>
          <w:rFonts w:eastAsia="Calibri" w:cs="Times New Roman"/>
          <w:bCs/>
          <w:szCs w:val="28"/>
        </w:rPr>
        <w:t>bê</w:t>
      </w:r>
      <w:r w:rsidR="00970A33">
        <w:rPr>
          <w:rFonts w:eastAsia="Calibri" w:cs="Times New Roman"/>
          <w:bCs/>
          <w:szCs w:val="28"/>
        </w:rPr>
        <w:t>-</w:t>
      </w:r>
      <w:r w:rsidRPr="00460F69">
        <w:rPr>
          <w:rFonts w:eastAsia="Calibri" w:cs="Times New Roman"/>
          <w:bCs/>
          <w:szCs w:val="28"/>
        </w:rPr>
        <w:t>ri). Hươu đực dùng chất tiết này để dẫn dụ hươu cái trong mùa giao phối. Khi được làm khô, chất trong túi xạ chuyển từ dạng sánh quánh màu nâu đỏ sang dạng hạt màu nâu đen gọi là “hạt xạ” có mùi hăng nồng. Hòa tan trong ethanol 70 - 80% hơi kiềm nhận được “cồn xạ” cho mùi thơm rất tinh tế chỉ sau khi được pha thật loãng. Không có hợp chất thiên nhiên nào có mùi thơm tổng hợp hòa quyện với nhiều sự mô tả trái ngược như X</w:t>
      </w:r>
      <w:r w:rsidR="00970A33">
        <w:rPr>
          <w:rFonts w:eastAsia="Calibri" w:cs="Times New Roman"/>
          <w:bCs/>
          <w:szCs w:val="28"/>
        </w:rPr>
        <w:t>.,</w:t>
      </w:r>
      <w:r w:rsidRPr="00460F69">
        <w:rPr>
          <w:rFonts w:eastAsia="Calibri" w:cs="Times New Roman"/>
          <w:bCs/>
          <w:szCs w:val="28"/>
        </w:rPr>
        <w:t xml:space="preserve"> </w:t>
      </w:r>
      <w:r w:rsidR="00970A33">
        <w:rPr>
          <w:rFonts w:eastAsia="Calibri" w:cs="Times New Roman"/>
          <w:bCs/>
          <w:szCs w:val="28"/>
        </w:rPr>
        <w:t>t</w:t>
      </w:r>
      <w:r w:rsidRPr="00460F69">
        <w:rPr>
          <w:rFonts w:eastAsia="Calibri" w:cs="Times New Roman"/>
          <w:bCs/>
          <w:szCs w:val="28"/>
        </w:rPr>
        <w:t>uy vậy mùi của nó thường được mô tả một cách trừu tượng như mùi gỗ, mùi của đất rừng và muông thú, đôi khi lại na ná như mùi da của trẻ sơ sinh.</w:t>
      </w:r>
    </w:p>
    <w:p w:rsidR="00460F69" w:rsidRPr="00460F69" w:rsidRDefault="00460F69" w:rsidP="00460F69">
      <w:pPr>
        <w:rPr>
          <w:rFonts w:eastAsia="Calibri" w:cs="Times New Roman"/>
          <w:szCs w:val="28"/>
        </w:rPr>
      </w:pPr>
      <w:r w:rsidRPr="00460F69">
        <w:rPr>
          <w:rFonts w:eastAsia="Calibri" w:cs="Times New Roman"/>
          <w:bCs/>
          <w:szCs w:val="28"/>
        </w:rPr>
        <w:t>Thành phần chính cho mùi đặc trưng của X là (-) Muscon.</w:t>
      </w:r>
      <w:r w:rsidRPr="00460F69">
        <w:rPr>
          <w:rFonts w:eastAsia="Calibri" w:cs="Times New Roman"/>
          <w:szCs w:val="28"/>
        </w:rPr>
        <w:t xml:space="preserve"> </w:t>
      </w:r>
    </w:p>
    <w:p w:rsidR="00460F69" w:rsidRPr="00460F69" w:rsidRDefault="00460F69" w:rsidP="00460F69">
      <w:pPr>
        <w:jc w:val="center"/>
        <w:rPr>
          <w:rFonts w:eastAsia="Calibri" w:cs="Times New Roman"/>
          <w:szCs w:val="28"/>
        </w:rPr>
      </w:pPr>
      <w:r w:rsidRPr="00460F69">
        <w:rPr>
          <w:rFonts w:eastAsia="Calibri" w:cs="Times New Roman"/>
          <w:szCs w:val="28"/>
        </w:rPr>
        <w:object w:dxaOrig="4396" w:dyaOrig="1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pt;height:65.1pt" o:ole="">
            <v:imagedata r:id="rId4" o:title=""/>
          </v:shape>
          <o:OLEObject Type="Embed" ProgID="ChemDraw.Document.6.0" ShapeID="_x0000_i1025" DrawAspect="Content" ObjectID="_1827659842" r:id="rId5"/>
        </w:object>
      </w:r>
    </w:p>
    <w:p w:rsidR="00460F69" w:rsidRPr="00460F69" w:rsidRDefault="00460F69" w:rsidP="00460F69">
      <w:pPr>
        <w:jc w:val="center"/>
        <w:rPr>
          <w:rFonts w:eastAsia="Calibri" w:cs="Times New Roman"/>
          <w:bCs/>
          <w:szCs w:val="28"/>
        </w:rPr>
      </w:pPr>
      <w:r w:rsidRPr="00460F69">
        <w:rPr>
          <w:rFonts w:eastAsia="Calibri" w:cs="Times New Roman"/>
          <w:bCs/>
          <w:szCs w:val="28"/>
        </w:rPr>
        <w:t>(-)-(</w:t>
      </w:r>
      <w:r w:rsidRPr="00460F69">
        <w:rPr>
          <w:rFonts w:eastAsia="Calibri" w:cs="Times New Roman"/>
          <w:bCs/>
          <w:i/>
          <w:szCs w:val="28"/>
        </w:rPr>
        <w:t>R</w:t>
      </w:r>
      <w:r w:rsidRPr="00460F69">
        <w:rPr>
          <w:rFonts w:eastAsia="Calibri" w:cs="Times New Roman"/>
          <w:bCs/>
          <w:szCs w:val="28"/>
        </w:rPr>
        <w:t>)-Muscon</w:t>
      </w:r>
    </w:p>
    <w:p w:rsidR="00460F69" w:rsidRPr="00460F69" w:rsidRDefault="00460F69" w:rsidP="00460F69">
      <w:pPr>
        <w:rPr>
          <w:rFonts w:eastAsia="Calibri" w:cs="Times New Roman"/>
          <w:bCs/>
          <w:szCs w:val="28"/>
        </w:rPr>
      </w:pPr>
      <w:r w:rsidRPr="00460F69">
        <w:rPr>
          <w:rFonts w:eastAsia="Calibri" w:cs="Times New Roman"/>
          <w:bCs/>
          <w:szCs w:val="28"/>
        </w:rPr>
        <w:t>Để có được X</w:t>
      </w:r>
      <w:r w:rsidR="00970A33">
        <w:rPr>
          <w:rFonts w:eastAsia="Calibri" w:cs="Times New Roman"/>
          <w:bCs/>
          <w:szCs w:val="28"/>
        </w:rPr>
        <w:t>.</w:t>
      </w:r>
      <w:r w:rsidRPr="00460F69">
        <w:rPr>
          <w:rFonts w:eastAsia="Calibri" w:cs="Times New Roman"/>
          <w:bCs/>
          <w:szCs w:val="28"/>
        </w:rPr>
        <w:t xml:space="preserve"> người ta thường bẫy hoặc săn bắn hươu xạ đực. Sau khi giết, xẻo lấy túi xạ ở vùng giữa rốn và cơ quan sinh dục, làm khô và bảo quản trong hộp kín trước khi bán hoặc thu nhận hạt xạ. Khoảng 40 túi xạ sẽ nhận được 1 kg hạt xạ. </w:t>
      </w:r>
    </w:p>
    <w:p w:rsidR="00460F69" w:rsidRPr="00460F69" w:rsidRDefault="00460F69" w:rsidP="00460F69">
      <w:pPr>
        <w:rPr>
          <w:rFonts w:eastAsia="Calibri" w:cs="Times New Roman"/>
          <w:bCs/>
          <w:szCs w:val="28"/>
        </w:rPr>
      </w:pPr>
      <w:r w:rsidRPr="00460F69">
        <w:rPr>
          <w:rFonts w:eastAsia="Calibri" w:cs="Times New Roman"/>
          <w:bCs/>
          <w:szCs w:val="28"/>
        </w:rPr>
        <w:t>Hậu quả của việc săn bắn quá mức trong nhiều thập kỷ qua đã dẫn đến nguy cơ tuyệt chủng loài hươu xạ. Tổ chức Quốc tế Bảo vệ động vật hoang dã đã ngăn cấm săn bắn hươu xạ và kiểm tra nghiêm ngặt việc xuất khẩu xạ. Tuy nhiên săn bắn hươu xạ và mua bán X</w:t>
      </w:r>
      <w:r w:rsidR="00970A33">
        <w:rPr>
          <w:rFonts w:eastAsia="Calibri" w:cs="Times New Roman"/>
          <w:bCs/>
          <w:szCs w:val="28"/>
        </w:rPr>
        <w:t>.</w:t>
      </w:r>
      <w:r w:rsidRPr="00460F69">
        <w:rPr>
          <w:rFonts w:eastAsia="Calibri" w:cs="Times New Roman"/>
          <w:bCs/>
          <w:szCs w:val="28"/>
        </w:rPr>
        <w:t xml:space="preserve"> vẫn còn tiếp diễn. Ở các thị trường Đông Á 1 kg X</w:t>
      </w:r>
      <w:r w:rsidR="00970A33">
        <w:rPr>
          <w:rFonts w:eastAsia="Calibri" w:cs="Times New Roman"/>
          <w:bCs/>
          <w:szCs w:val="28"/>
        </w:rPr>
        <w:t>.</w:t>
      </w:r>
      <w:r w:rsidRPr="00460F69">
        <w:rPr>
          <w:rFonts w:eastAsia="Calibri" w:cs="Times New Roman"/>
          <w:bCs/>
          <w:szCs w:val="28"/>
        </w:rPr>
        <w:t xml:space="preserve"> có giá khoảng 30.000 - 50.000 U</w:t>
      </w:r>
      <w:r w:rsidR="00366EA5" w:rsidRPr="00F14C97">
        <w:rPr>
          <w:rFonts w:eastAsia="Calibri" w:cs="Times New Roman"/>
          <w:bCs/>
          <w:szCs w:val="28"/>
          <w:highlight w:val="yellow"/>
        </w:rPr>
        <w:t>S</w:t>
      </w:r>
      <w:r w:rsidRPr="00460F69">
        <w:rPr>
          <w:rFonts w:eastAsia="Calibri" w:cs="Times New Roman"/>
          <w:bCs/>
          <w:szCs w:val="28"/>
        </w:rPr>
        <w:t>D.</w:t>
      </w:r>
    </w:p>
    <w:p w:rsidR="00460F69" w:rsidRPr="00460F69" w:rsidRDefault="00460F69" w:rsidP="00460F69">
      <w:pPr>
        <w:rPr>
          <w:rFonts w:eastAsia="Calibri" w:cs="Times New Roman"/>
          <w:bCs/>
          <w:szCs w:val="28"/>
        </w:rPr>
      </w:pPr>
      <w:r w:rsidRPr="00460F69">
        <w:rPr>
          <w:rFonts w:eastAsia="Calibri" w:cs="Times New Roman"/>
          <w:bCs/>
          <w:szCs w:val="28"/>
        </w:rPr>
        <w:t>Ứng dụng:</w:t>
      </w:r>
      <w:r w:rsidRPr="00460F69">
        <w:rPr>
          <w:rFonts w:eastAsia="Calibri" w:cs="Times New Roman"/>
          <w:b/>
          <w:bCs/>
          <w:i/>
          <w:szCs w:val="28"/>
        </w:rPr>
        <w:t xml:space="preserve"> </w:t>
      </w:r>
      <w:r w:rsidRPr="00460F69">
        <w:rPr>
          <w:rFonts w:eastAsia="Calibri" w:cs="Times New Roman"/>
          <w:bCs/>
          <w:szCs w:val="28"/>
        </w:rPr>
        <w:t>Ngay từ thời cổ đại, X</w:t>
      </w:r>
      <w:r w:rsidR="00970A33">
        <w:rPr>
          <w:rFonts w:eastAsia="Calibri" w:cs="Times New Roman"/>
          <w:bCs/>
          <w:szCs w:val="28"/>
        </w:rPr>
        <w:t>.</w:t>
      </w:r>
      <w:r w:rsidRPr="00460F69">
        <w:rPr>
          <w:rFonts w:eastAsia="Calibri" w:cs="Times New Roman"/>
          <w:bCs/>
          <w:szCs w:val="28"/>
        </w:rPr>
        <w:t xml:space="preserve"> đã được dùng như một thành phần có tác dụng quyến rũ, gợi tình trong các loại dầu, sáp thơm xa xỉ đắt tiền. Ngoài mùi thơm tinh tế, X</w:t>
      </w:r>
      <w:r w:rsidR="00970A33">
        <w:rPr>
          <w:rFonts w:eastAsia="Calibri" w:cs="Times New Roman"/>
          <w:bCs/>
          <w:szCs w:val="28"/>
        </w:rPr>
        <w:t>.</w:t>
      </w:r>
      <w:r w:rsidRPr="00460F69">
        <w:rPr>
          <w:rFonts w:eastAsia="Calibri" w:cs="Times New Roman"/>
          <w:bCs/>
          <w:szCs w:val="28"/>
        </w:rPr>
        <w:t xml:space="preserve"> còn tỏa ra các lực mạnh thâm nhập và tạo liên kết với các phân tử chất thơm khác nhờ đó làm giảm tính dễ bay hơi và tăng tính ổn định cần thiết của nước hoa, vì vậy X</w:t>
      </w:r>
      <w:r w:rsidR="00970A33">
        <w:rPr>
          <w:rFonts w:eastAsia="Calibri" w:cs="Times New Roman"/>
          <w:bCs/>
          <w:szCs w:val="28"/>
        </w:rPr>
        <w:t>.</w:t>
      </w:r>
      <w:r w:rsidRPr="00460F69">
        <w:rPr>
          <w:rFonts w:eastAsia="Calibri" w:cs="Times New Roman"/>
          <w:bCs/>
          <w:szCs w:val="28"/>
        </w:rPr>
        <w:t xml:space="preserve"> đã trở thành hợp phần chủ chốt của các loại nước hoa với vai trò vừa là chất thơm vừa là chất định hương.</w:t>
      </w:r>
    </w:p>
    <w:p w:rsidR="00460F69" w:rsidRPr="00460F69" w:rsidRDefault="00460F69" w:rsidP="00460F69">
      <w:pPr>
        <w:rPr>
          <w:rFonts w:eastAsia="Calibri" w:cs="Times New Roman"/>
          <w:bCs/>
          <w:szCs w:val="28"/>
        </w:rPr>
      </w:pPr>
      <w:r w:rsidRPr="00460F69">
        <w:rPr>
          <w:rFonts w:eastAsia="Calibri" w:cs="Times New Roman"/>
          <w:bCs/>
          <w:szCs w:val="28"/>
        </w:rPr>
        <w:t>Hiện nay X</w:t>
      </w:r>
      <w:r w:rsidR="00970A33">
        <w:rPr>
          <w:rFonts w:eastAsia="Calibri" w:cs="Times New Roman"/>
          <w:bCs/>
          <w:szCs w:val="28"/>
        </w:rPr>
        <w:t>.</w:t>
      </w:r>
      <w:r w:rsidRPr="00460F69">
        <w:rPr>
          <w:rFonts w:eastAsia="Calibri" w:cs="Times New Roman"/>
          <w:bCs/>
          <w:szCs w:val="28"/>
        </w:rPr>
        <w:t xml:space="preserve"> tự nhiên không còn được sử dụng ở châu Âu và Mỹ mà đã được thay thế hoàn toàn bằng X</w:t>
      </w:r>
      <w:r w:rsidR="00970A33">
        <w:rPr>
          <w:rFonts w:eastAsia="Calibri" w:cs="Times New Roman"/>
          <w:bCs/>
          <w:szCs w:val="28"/>
        </w:rPr>
        <w:t>.</w:t>
      </w:r>
      <w:r w:rsidRPr="00460F69">
        <w:rPr>
          <w:rFonts w:eastAsia="Calibri" w:cs="Times New Roman"/>
          <w:bCs/>
          <w:szCs w:val="28"/>
        </w:rPr>
        <w:t xml:space="preserve"> tổng hợp. Các nước Đông Nam Á, Ấn Độ, Trung Quốc và một số nước châu Phi vẫn còn sử dụng các loại dịch tuyến thu nhận được từ cầy hương (</w:t>
      </w:r>
      <w:r w:rsidRPr="00460F69">
        <w:rPr>
          <w:rFonts w:eastAsia="Calibri" w:cs="Times New Roman"/>
          <w:bCs/>
          <w:i/>
          <w:szCs w:val="28"/>
        </w:rPr>
        <w:t>Viverricula malaccensis</w:t>
      </w:r>
      <w:r w:rsidRPr="00460F69">
        <w:rPr>
          <w:rFonts w:eastAsia="Calibri" w:cs="Times New Roman"/>
          <w:bCs/>
          <w:szCs w:val="28"/>
        </w:rPr>
        <w:t xml:space="preserve"> Gmelin) và cầy giông (</w:t>
      </w:r>
      <w:r w:rsidRPr="00460F69">
        <w:rPr>
          <w:rFonts w:eastAsia="Calibri" w:cs="Times New Roman"/>
          <w:bCs/>
          <w:i/>
          <w:szCs w:val="28"/>
        </w:rPr>
        <w:t>Viverra zibetha</w:t>
      </w:r>
      <w:r w:rsidRPr="00460F69">
        <w:rPr>
          <w:rFonts w:eastAsia="Calibri" w:cs="Times New Roman"/>
          <w:bCs/>
          <w:szCs w:val="28"/>
        </w:rPr>
        <w:t xml:space="preserve"> L.) gọi là viverreum hay civet có mùi tương tự X</w:t>
      </w:r>
      <w:r w:rsidR="00970A33">
        <w:rPr>
          <w:rFonts w:eastAsia="Calibri" w:cs="Times New Roman"/>
          <w:bCs/>
          <w:szCs w:val="28"/>
        </w:rPr>
        <w:t>.</w:t>
      </w:r>
      <w:r w:rsidRPr="00460F69">
        <w:rPr>
          <w:rFonts w:eastAsia="Calibri" w:cs="Times New Roman"/>
          <w:bCs/>
          <w:szCs w:val="28"/>
        </w:rPr>
        <w:t xml:space="preserve"> nhưng kém tinh tế hơn song chủ yếu vẫn dùng X</w:t>
      </w:r>
      <w:r w:rsidR="00970A33">
        <w:rPr>
          <w:rFonts w:eastAsia="Calibri" w:cs="Times New Roman"/>
          <w:bCs/>
          <w:szCs w:val="28"/>
        </w:rPr>
        <w:t>.</w:t>
      </w:r>
      <w:r w:rsidRPr="00460F69">
        <w:rPr>
          <w:rFonts w:eastAsia="Calibri" w:cs="Times New Roman"/>
          <w:bCs/>
          <w:szCs w:val="28"/>
        </w:rPr>
        <w:t xml:space="preserve"> tổng hợp.</w:t>
      </w:r>
    </w:p>
    <w:p w:rsidR="00460F69" w:rsidRPr="00460F69" w:rsidRDefault="00460F69" w:rsidP="00460F69">
      <w:pPr>
        <w:rPr>
          <w:rFonts w:eastAsia="Calibri" w:cs="Times New Roman"/>
          <w:bCs/>
          <w:szCs w:val="28"/>
        </w:rPr>
      </w:pPr>
      <w:r w:rsidRPr="00460F69">
        <w:rPr>
          <w:rFonts w:eastAsia="Calibri" w:cs="Times New Roman"/>
          <w:szCs w:val="28"/>
        </w:rPr>
        <w:t>Ngày nay Đông y, đặc biệt Y học cổ truyền Trung Quốc vẫn coi X tự nhiên là một vị thuốc không thể thiếu được trong một số loại biệt dược như nhân đơn, lục thần hoàn.</w:t>
      </w:r>
    </w:p>
    <w:tbl>
      <w:tblPr>
        <w:tblW w:w="0" w:type="auto"/>
        <w:jc w:val="center"/>
        <w:tblLook w:val="04A0" w:firstRow="1" w:lastRow="0" w:firstColumn="1" w:lastColumn="0" w:noHBand="0" w:noVBand="1"/>
      </w:tblPr>
      <w:tblGrid>
        <w:gridCol w:w="4641"/>
        <w:gridCol w:w="4114"/>
      </w:tblGrid>
      <w:tr w:rsidR="00460F69" w:rsidRPr="00460F69" w:rsidTr="001E4EF2">
        <w:trPr>
          <w:trHeight w:val="181"/>
          <w:jc w:val="center"/>
        </w:trPr>
        <w:tc>
          <w:tcPr>
            <w:tcW w:w="4641" w:type="dxa"/>
          </w:tcPr>
          <w:p w:rsidR="00460F69" w:rsidRPr="00460F69" w:rsidRDefault="00460F69" w:rsidP="00460F69">
            <w:pPr>
              <w:contextualSpacing/>
              <w:rPr>
                <w:rFonts w:eastAsia="Calibri" w:cs="Times New Roman"/>
                <w:sz w:val="26"/>
              </w:rPr>
            </w:pPr>
          </w:p>
        </w:tc>
        <w:tc>
          <w:tcPr>
            <w:tcW w:w="4114" w:type="dxa"/>
          </w:tcPr>
          <w:p w:rsidR="00460F69" w:rsidRPr="00460F69" w:rsidRDefault="00460F69" w:rsidP="00460F69">
            <w:pPr>
              <w:contextualSpacing/>
              <w:jc w:val="right"/>
              <w:rPr>
                <w:rFonts w:eastAsia="Calibri" w:cs="Times New Roman"/>
                <w:b/>
                <w:sz w:val="24"/>
                <w:szCs w:val="24"/>
              </w:rPr>
            </w:pPr>
            <w:r w:rsidRPr="00460F69">
              <w:rPr>
                <w:rFonts w:eastAsia="Calibri" w:cs="Times New Roman"/>
                <w:b/>
                <w:sz w:val="24"/>
                <w:szCs w:val="24"/>
              </w:rPr>
              <w:t>HOÀNG THANH HƯƠNG</w:t>
            </w:r>
          </w:p>
        </w:tc>
      </w:tr>
    </w:tbl>
    <w:p w:rsidR="00460F69" w:rsidRPr="00460F69" w:rsidRDefault="00460F69" w:rsidP="00460F69">
      <w:pPr>
        <w:ind w:right="794"/>
        <w:contextualSpacing/>
        <w:rPr>
          <w:rFonts w:eastAsia="Calibri" w:cs="Times New Roman"/>
          <w:b/>
          <w:sz w:val="24"/>
          <w:szCs w:val="24"/>
          <w:lang w:val="x-none" w:eastAsia="x-none"/>
        </w:rPr>
      </w:pPr>
    </w:p>
    <w:p w:rsidR="00460F69" w:rsidRPr="00460F69" w:rsidRDefault="00460F69" w:rsidP="00460F69">
      <w:pPr>
        <w:ind w:right="794"/>
        <w:contextualSpacing/>
        <w:rPr>
          <w:rFonts w:eastAsia="Calibri" w:cs="Times New Roman"/>
          <w:b/>
          <w:sz w:val="24"/>
          <w:szCs w:val="24"/>
          <w:lang w:val="x-none" w:eastAsia="x-none"/>
        </w:rPr>
      </w:pPr>
      <w:r w:rsidRPr="00460F69">
        <w:rPr>
          <w:rFonts w:eastAsia="Calibri" w:cs="Times New Roman"/>
          <w:b/>
          <w:sz w:val="24"/>
          <w:szCs w:val="24"/>
          <w:lang w:val="x-none" w:eastAsia="x-none"/>
        </w:rPr>
        <w:lastRenderedPageBreak/>
        <w:t>Tài liệu tham khảo</w:t>
      </w:r>
    </w:p>
    <w:p w:rsidR="00460F69" w:rsidRPr="00460F69" w:rsidRDefault="00460F69" w:rsidP="00460F69">
      <w:pPr>
        <w:rPr>
          <w:rFonts w:eastAsia="Calibri" w:cs="Times New Roman"/>
          <w:bCs/>
          <w:iCs/>
          <w:sz w:val="24"/>
          <w:szCs w:val="24"/>
          <w:lang w:val="x-none" w:eastAsia="x-none"/>
        </w:rPr>
      </w:pPr>
      <w:r w:rsidRPr="00460F69">
        <w:rPr>
          <w:rFonts w:eastAsia="Calibri" w:cs="Times New Roman"/>
          <w:bCs/>
          <w:iCs/>
          <w:sz w:val="24"/>
          <w:szCs w:val="24"/>
          <w:lang w:eastAsia="x-none"/>
        </w:rPr>
        <w:t xml:space="preserve">1. </w:t>
      </w:r>
      <w:r w:rsidRPr="00460F69">
        <w:rPr>
          <w:rFonts w:eastAsia="Calibri" w:cs="Times New Roman"/>
          <w:bCs/>
          <w:iCs/>
          <w:sz w:val="24"/>
          <w:szCs w:val="24"/>
          <w:lang w:val="x-none" w:eastAsia="x-none"/>
        </w:rPr>
        <w:t xml:space="preserve">Đỗ Tất Lợi, </w:t>
      </w:r>
      <w:r w:rsidRPr="00460F69">
        <w:rPr>
          <w:rFonts w:eastAsia="Calibri" w:cs="Times New Roman"/>
          <w:bCs/>
          <w:i/>
          <w:iCs/>
          <w:sz w:val="24"/>
          <w:szCs w:val="24"/>
          <w:lang w:val="x-none" w:eastAsia="x-none"/>
        </w:rPr>
        <w:t xml:space="preserve">Những cây thuốc và vị thuốc Việt </w:t>
      </w:r>
      <w:r w:rsidRPr="00460F69">
        <w:rPr>
          <w:rFonts w:eastAsia="Calibri" w:cs="Times New Roman"/>
          <w:bCs/>
          <w:iCs/>
          <w:sz w:val="24"/>
          <w:szCs w:val="24"/>
          <w:lang w:val="x-none" w:eastAsia="x-none"/>
        </w:rPr>
        <w:t xml:space="preserve">Nam, xuất bản lần thứ 11 có sửa chữa, bổ sung, </w:t>
      </w:r>
      <w:r w:rsidRPr="00460F69">
        <w:rPr>
          <w:rFonts w:eastAsia="Calibri" w:cs="Times New Roman"/>
          <w:bCs/>
          <w:iCs/>
          <w:sz w:val="24"/>
          <w:szCs w:val="24"/>
          <w:lang w:eastAsia="x-none"/>
        </w:rPr>
        <w:t xml:space="preserve">Nxb. </w:t>
      </w:r>
      <w:r w:rsidRPr="00460F69">
        <w:rPr>
          <w:rFonts w:eastAsia="Calibri" w:cs="Times New Roman"/>
          <w:bCs/>
          <w:iCs/>
          <w:sz w:val="24"/>
          <w:szCs w:val="24"/>
          <w:lang w:val="x-none" w:eastAsia="x-none"/>
        </w:rPr>
        <w:t xml:space="preserve">Y học, 2003, </w:t>
      </w:r>
      <w:r w:rsidRPr="00460F69">
        <w:rPr>
          <w:rFonts w:eastAsia="Calibri" w:cs="Times New Roman"/>
          <w:bCs/>
          <w:iCs/>
          <w:sz w:val="24"/>
          <w:szCs w:val="24"/>
          <w:lang w:eastAsia="x-none"/>
        </w:rPr>
        <w:t xml:space="preserve">tr. </w:t>
      </w:r>
      <w:r w:rsidRPr="00460F69">
        <w:rPr>
          <w:rFonts w:eastAsia="Calibri" w:cs="Times New Roman"/>
          <w:bCs/>
          <w:iCs/>
          <w:sz w:val="24"/>
          <w:szCs w:val="24"/>
          <w:lang w:val="x-none" w:eastAsia="x-none"/>
        </w:rPr>
        <w:t>995‒999.</w:t>
      </w:r>
    </w:p>
    <w:p w:rsidR="00460F69" w:rsidRPr="00460F69" w:rsidRDefault="00460F69" w:rsidP="00460F69">
      <w:pPr>
        <w:rPr>
          <w:rFonts w:eastAsia="Calibri" w:cs="Times New Roman"/>
          <w:bCs/>
          <w:iCs/>
          <w:sz w:val="24"/>
          <w:szCs w:val="24"/>
          <w:lang w:val="x-none" w:eastAsia="x-none"/>
        </w:rPr>
      </w:pPr>
      <w:r w:rsidRPr="00460F69">
        <w:rPr>
          <w:rFonts w:eastAsia="Calibri" w:cs="Times New Roman"/>
          <w:sz w:val="24"/>
          <w:szCs w:val="24"/>
          <w:lang w:eastAsia="x-none"/>
        </w:rPr>
        <w:t xml:space="preserve">2. </w:t>
      </w:r>
      <w:r w:rsidRPr="00460F69">
        <w:rPr>
          <w:rFonts w:eastAsia="Calibri" w:cs="Times New Roman"/>
          <w:sz w:val="24"/>
          <w:szCs w:val="24"/>
          <w:lang w:val="x-none" w:eastAsia="x-none"/>
        </w:rPr>
        <w:t xml:space="preserve">W. Steglich, B. Fugmann, S. Lang-Fugmann (Eds.). </w:t>
      </w:r>
      <w:r w:rsidRPr="00460F69">
        <w:rPr>
          <w:rFonts w:eastAsia="Calibri" w:cs="Times New Roman"/>
          <w:i/>
          <w:sz w:val="24"/>
          <w:szCs w:val="24"/>
          <w:lang w:val="x-none" w:eastAsia="x-none"/>
        </w:rPr>
        <w:t>Römpp Encyclopedia Natural Products</w:t>
      </w:r>
      <w:r w:rsidRPr="00460F69">
        <w:rPr>
          <w:rFonts w:eastAsia="Calibri" w:cs="Times New Roman"/>
          <w:sz w:val="24"/>
          <w:szCs w:val="24"/>
          <w:lang w:val="x-none" w:eastAsia="x-none"/>
        </w:rPr>
        <w:t xml:space="preserve">, Georg Thieme Verlag (Stuttgart - New York), 2000, </w:t>
      </w:r>
      <w:r w:rsidRPr="00460F69">
        <w:rPr>
          <w:rFonts w:eastAsia="Calibri" w:cs="Times New Roman"/>
          <w:sz w:val="24"/>
          <w:szCs w:val="24"/>
          <w:lang w:eastAsia="x-none"/>
        </w:rPr>
        <w:t xml:space="preserve">tr. </w:t>
      </w:r>
      <w:r w:rsidRPr="00460F69">
        <w:rPr>
          <w:rFonts w:eastAsia="Calibri" w:cs="Times New Roman"/>
          <w:sz w:val="24"/>
          <w:szCs w:val="24"/>
          <w:lang w:val="x-none" w:eastAsia="x-none"/>
        </w:rPr>
        <w:t>413‒414</w:t>
      </w:r>
      <w:r w:rsidRPr="00460F69">
        <w:rPr>
          <w:rFonts w:eastAsia="Calibri" w:cs="Times New Roman"/>
          <w:bCs/>
          <w:iCs/>
          <w:sz w:val="24"/>
          <w:szCs w:val="24"/>
          <w:lang w:eastAsia="x-none"/>
        </w:rPr>
        <w:t>.</w:t>
      </w:r>
    </w:p>
    <w:p w:rsidR="00460F69" w:rsidRPr="00460F69" w:rsidRDefault="00460F69" w:rsidP="00460F69">
      <w:pPr>
        <w:rPr>
          <w:rFonts w:eastAsia="Calibri" w:cs="Times New Roman"/>
          <w:bCs/>
          <w:iCs/>
          <w:sz w:val="24"/>
          <w:szCs w:val="24"/>
          <w:lang w:val="x-none" w:eastAsia="x-none"/>
        </w:rPr>
      </w:pPr>
      <w:r w:rsidRPr="00460F69">
        <w:rPr>
          <w:rFonts w:eastAsia="Calibri" w:cs="Times New Roman"/>
          <w:bCs/>
          <w:iCs/>
          <w:sz w:val="24"/>
          <w:szCs w:val="24"/>
          <w:lang w:eastAsia="x-none"/>
        </w:rPr>
        <w:t xml:space="preserve">3. </w:t>
      </w:r>
      <w:r w:rsidRPr="00460F69">
        <w:rPr>
          <w:rFonts w:eastAsia="Calibri" w:cs="Times New Roman"/>
          <w:bCs/>
          <w:iCs/>
          <w:sz w:val="24"/>
          <w:szCs w:val="24"/>
          <w:lang w:val="x-none" w:eastAsia="x-none"/>
        </w:rPr>
        <w:t xml:space="preserve">D.J. Rowe (Ed.), </w:t>
      </w:r>
      <w:r w:rsidRPr="00460F69">
        <w:rPr>
          <w:rFonts w:eastAsia="Calibri" w:cs="Times New Roman"/>
          <w:bCs/>
          <w:i/>
          <w:iCs/>
          <w:sz w:val="24"/>
          <w:szCs w:val="24"/>
          <w:lang w:val="x-none" w:eastAsia="x-none"/>
        </w:rPr>
        <w:t>Chemistry and Technology of Flavour and Fragrances</w:t>
      </w:r>
      <w:r w:rsidRPr="00460F69">
        <w:rPr>
          <w:rFonts w:eastAsia="Calibri" w:cs="Times New Roman"/>
          <w:bCs/>
          <w:iCs/>
          <w:sz w:val="24"/>
          <w:szCs w:val="24"/>
          <w:lang w:val="x-none" w:eastAsia="x-none"/>
        </w:rPr>
        <w:t>, Blackwell Science Ltd, 2004</w:t>
      </w:r>
      <w:r w:rsidRPr="00460F69">
        <w:rPr>
          <w:rFonts w:eastAsia="Calibri" w:cs="Times New Roman"/>
          <w:bCs/>
          <w:iCs/>
          <w:sz w:val="24"/>
          <w:szCs w:val="24"/>
          <w:lang w:eastAsia="x-none"/>
        </w:rPr>
        <w:t>.</w:t>
      </w:r>
    </w:p>
    <w:p w:rsidR="00000000" w:rsidRDefault="00000000"/>
    <w:sectPr w:rsidR="00BA508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69"/>
    <w:rsid w:val="00251A87"/>
    <w:rsid w:val="00366EA5"/>
    <w:rsid w:val="003967FB"/>
    <w:rsid w:val="0044053A"/>
    <w:rsid w:val="00457C2A"/>
    <w:rsid w:val="00460F69"/>
    <w:rsid w:val="005C1A5F"/>
    <w:rsid w:val="007E559D"/>
    <w:rsid w:val="00970A33"/>
    <w:rsid w:val="00D04375"/>
    <w:rsid w:val="00D32001"/>
    <w:rsid w:val="00D66FA3"/>
    <w:rsid w:val="00DB3DA9"/>
    <w:rsid w:val="00F14C97"/>
    <w:rsid w:val="00F17A94"/>
    <w:rsid w:val="00F5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D769"/>
  <w15:chartTrackingRefBased/>
  <w15:docId w15:val="{E1DB1565-E168-40CA-9E09-2226F101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7</cp:revision>
  <dcterms:created xsi:type="dcterms:W3CDTF">2023-08-21T05:03:00Z</dcterms:created>
  <dcterms:modified xsi:type="dcterms:W3CDTF">2025-12-19T07:31:00Z</dcterms:modified>
</cp:coreProperties>
</file>